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89EF" w14:textId="77777777" w:rsidR="00F44D8E" w:rsidRDefault="00F44D8E" w:rsidP="00F44D8E">
      <w:pPr>
        <w:pBdr>
          <w:top w:val="nil"/>
          <w:left w:val="nil"/>
          <w:bottom w:val="nil"/>
          <w:right w:val="nil"/>
          <w:between w:val="nil"/>
          <w:bar w:val="nil"/>
        </w:pBdr>
        <w:spacing w:line="276" w:lineRule="auto"/>
        <w:jc w:val="center"/>
        <w:rPr>
          <w:rFonts w:eastAsia="Arial Unicode MS" w:cs="Arial"/>
          <w:b/>
          <w:color w:val="595959"/>
          <w:bdr w:val="nil"/>
          <w:lang w:val="en-US"/>
        </w:rPr>
      </w:pPr>
    </w:p>
    <w:p w14:paraId="5707EE43" w14:textId="77777777" w:rsidR="00F44D8E" w:rsidRDefault="00F44D8E" w:rsidP="00F44D8E">
      <w:pPr>
        <w:pBdr>
          <w:top w:val="nil"/>
          <w:left w:val="nil"/>
          <w:bottom w:val="nil"/>
          <w:right w:val="nil"/>
          <w:between w:val="nil"/>
          <w:bar w:val="nil"/>
        </w:pBdr>
        <w:spacing w:line="276" w:lineRule="auto"/>
        <w:jc w:val="center"/>
        <w:rPr>
          <w:rFonts w:eastAsia="Arial Unicode MS" w:cs="Arial"/>
          <w:b/>
          <w:color w:val="595959"/>
          <w:bdr w:val="nil"/>
          <w:lang w:val="en-US"/>
        </w:rPr>
      </w:pPr>
    </w:p>
    <w:p w14:paraId="102BA55D" w14:textId="77777777" w:rsidR="00944CDA" w:rsidRDefault="00944CDA" w:rsidP="00944CDA">
      <w:pPr>
        <w:pBdr>
          <w:top w:val="nil"/>
          <w:left w:val="nil"/>
          <w:bottom w:val="nil"/>
          <w:right w:val="nil"/>
          <w:between w:val="nil"/>
          <w:bar w:val="nil"/>
        </w:pBdr>
        <w:spacing w:line="276" w:lineRule="auto"/>
        <w:jc w:val="center"/>
        <w:rPr>
          <w:rFonts w:eastAsia="Arial Unicode MS" w:cs="Arial"/>
          <w:b/>
          <w:color w:val="595959"/>
          <w:bdr w:val="nil"/>
          <w:lang w:val="en-US"/>
        </w:rPr>
      </w:pPr>
    </w:p>
    <w:tbl>
      <w:tblPr>
        <w:tblStyle w:val="TableGrid"/>
        <w:tblW w:w="0" w:type="auto"/>
        <w:tblLook w:val="04A0" w:firstRow="1" w:lastRow="0" w:firstColumn="1" w:lastColumn="0" w:noHBand="0" w:noVBand="1"/>
      </w:tblPr>
      <w:tblGrid>
        <w:gridCol w:w="8901"/>
      </w:tblGrid>
      <w:tr w:rsidR="00196F50" w:rsidRPr="009D1CC6" w14:paraId="7F0C9915" w14:textId="77777777" w:rsidTr="00A31A7A">
        <w:tc>
          <w:tcPr>
            <w:tcW w:w="8901" w:type="dxa"/>
          </w:tcPr>
          <w:p w14:paraId="2502FF65" w14:textId="5333C867" w:rsidR="00196F50" w:rsidRPr="009D1CC6" w:rsidRDefault="00196F50" w:rsidP="00196F50">
            <w:pPr>
              <w:pStyle w:val="Subtitle"/>
            </w:pPr>
            <w:r w:rsidRPr="009D1CC6">
              <w:t>NHS Equality Delivery System</w:t>
            </w:r>
            <w:r w:rsidR="00F12E22">
              <w:t xml:space="preserve"> 2022</w:t>
            </w:r>
          </w:p>
        </w:tc>
      </w:tr>
      <w:tr w:rsidR="00A31A7A" w:rsidRPr="009D1CC6" w14:paraId="0B55A410" w14:textId="77777777" w:rsidTr="00A31A7A">
        <w:tc>
          <w:tcPr>
            <w:tcW w:w="8901" w:type="dxa"/>
            <w:tcMar>
              <w:bottom w:w="0" w:type="dxa"/>
            </w:tcMar>
          </w:tcPr>
          <w:p w14:paraId="2159C134" w14:textId="1EE50A14" w:rsidR="00A31A7A" w:rsidRPr="009D1CC6" w:rsidRDefault="00196F50" w:rsidP="00E33027">
            <w:pPr>
              <w:pStyle w:val="Title"/>
            </w:pPr>
            <w:r w:rsidRPr="009D1CC6">
              <w:t>EDS Reporting Template</w:t>
            </w:r>
          </w:p>
        </w:tc>
      </w:tr>
      <w:tr w:rsidR="00A31A7A" w:rsidRPr="009D1CC6" w14:paraId="28C9EAFF" w14:textId="77777777" w:rsidTr="00A31A7A">
        <w:tc>
          <w:tcPr>
            <w:tcW w:w="8901" w:type="dxa"/>
            <w:tcMar>
              <w:bottom w:w="851" w:type="dxa"/>
            </w:tcMar>
          </w:tcPr>
          <w:p w14:paraId="6F83A7D1" w14:textId="1283EDEA" w:rsidR="00A31A7A" w:rsidRPr="009D1CC6" w:rsidRDefault="00A31A7A" w:rsidP="00E33027">
            <w:pPr>
              <w:pStyle w:val="Subtitle"/>
            </w:pPr>
          </w:p>
        </w:tc>
      </w:tr>
      <w:tr w:rsidR="00A31A7A" w:rsidRPr="009D1CC6" w14:paraId="3E5F6F1D" w14:textId="77777777" w:rsidTr="00A31A7A">
        <w:tc>
          <w:tcPr>
            <w:tcW w:w="8901" w:type="dxa"/>
          </w:tcPr>
          <w:p w14:paraId="65490C08" w14:textId="0E8B5A1C" w:rsidR="00A31A7A" w:rsidRPr="009D1CC6" w:rsidRDefault="00A31A7A" w:rsidP="00E33027">
            <w:pPr>
              <w:pStyle w:val="Date"/>
            </w:pPr>
            <w:r w:rsidRPr="009D1CC6">
              <w:t xml:space="preserve">Version </w:t>
            </w:r>
            <w:r w:rsidR="000139EF">
              <w:t>1</w:t>
            </w:r>
            <w:r w:rsidRPr="009D1CC6">
              <w:t xml:space="preserve">, </w:t>
            </w:r>
            <w:sdt>
              <w:sdtPr>
                <w:alias w:val="Date"/>
                <w:id w:val="-1613351165"/>
                <w:placeholder>
                  <w:docPart w:val="D9462B11D0614DB28C23223F5CD21B3E"/>
                </w:placeholder>
                <w:date w:fullDate="2022-08-15T00:00:00Z">
                  <w:dateFormat w:val="d MMMM yyyy"/>
                  <w:lid w:val="en-GB"/>
                  <w:storeMappedDataAs w:val="dateTime"/>
                  <w:calendar w:val="gregorian"/>
                </w:date>
              </w:sdtPr>
              <w:sdtEndPr/>
              <w:sdtContent>
                <w:r w:rsidR="004D30D3">
                  <w:t>15 August 2022</w:t>
                </w:r>
              </w:sdtContent>
            </w:sdt>
          </w:p>
        </w:tc>
      </w:tr>
    </w:tbl>
    <w:p w14:paraId="1D172B94" w14:textId="58E3CF4E" w:rsidR="008E6AE9" w:rsidRPr="009D1CC6" w:rsidRDefault="008E6AE9" w:rsidP="007542A0"/>
    <w:p w14:paraId="3694C4AB" w14:textId="77777777" w:rsidR="00C94874" w:rsidRPr="009D1CC6" w:rsidRDefault="00C94874" w:rsidP="008E6AE9"/>
    <w:p w14:paraId="42BB8F1A" w14:textId="77777777" w:rsidR="001241F4" w:rsidRPr="009D1CC6" w:rsidRDefault="001241F4" w:rsidP="00991A82">
      <w:pPr>
        <w:sectPr w:rsidR="001241F4" w:rsidRPr="009D1CC6" w:rsidSect="0021516C">
          <w:pgSz w:w="11906" w:h="16838" w:code="9"/>
          <w:pgMar w:top="5103" w:right="1928" w:bottom="1134" w:left="1077" w:header="709" w:footer="709" w:gutter="0"/>
          <w:cols w:space="708"/>
          <w:docGrid w:linePitch="360"/>
        </w:sectPr>
      </w:pPr>
    </w:p>
    <w:p w14:paraId="009D074D" w14:textId="3EDC2F80" w:rsidR="001241F4" w:rsidRPr="009D1CC6" w:rsidRDefault="00510CDF" w:rsidP="00510CDF">
      <w:pPr>
        <w:pStyle w:val="TOCHeading"/>
      </w:pPr>
      <w:r w:rsidRPr="009D1CC6">
        <w:lastRenderedPageBreak/>
        <w:t>Contents</w:t>
      </w:r>
    </w:p>
    <w:p w14:paraId="34ABAE91" w14:textId="3069A04B" w:rsidR="009D1CC6" w:rsidRPr="009D1CC6" w:rsidRDefault="00510CDF">
      <w:pPr>
        <w:pStyle w:val="TOC2"/>
        <w:rPr>
          <w:rFonts w:asciiTheme="minorHAnsi" w:eastAsiaTheme="minorEastAsia" w:hAnsiTheme="minorHAnsi"/>
          <w:color w:val="auto"/>
          <w:sz w:val="22"/>
          <w:szCs w:val="22"/>
          <w:lang w:eastAsia="en-GB"/>
        </w:rPr>
      </w:pPr>
      <w:r w:rsidRPr="009D1CC6">
        <w:fldChar w:fldCharType="begin"/>
      </w:r>
      <w:r w:rsidRPr="009D1CC6">
        <w:instrText xml:space="preserve"> toc \h \w \t "Heading 1,1,Heading 1 Numbered,1,Heading 2,2,Heading 2 Numbered,2" </w:instrText>
      </w:r>
      <w:r w:rsidRPr="009D1CC6">
        <w:fldChar w:fldCharType="separate"/>
      </w:r>
      <w:hyperlink w:anchor="_Toc94529745" w:history="1">
        <w:r w:rsidR="009D1CC6" w:rsidRPr="009D1CC6">
          <w:rPr>
            <w:rStyle w:val="Hyperlink"/>
          </w:rPr>
          <w:t>Equality Delivery System for the NHS</w:t>
        </w:r>
        <w:r w:rsidR="009D1CC6" w:rsidRPr="009D1CC6">
          <w:tab/>
        </w:r>
        <w:r w:rsidR="009D1CC6" w:rsidRPr="009D1CC6">
          <w:fldChar w:fldCharType="begin"/>
        </w:r>
        <w:r w:rsidR="009D1CC6" w:rsidRPr="009D1CC6">
          <w:instrText xml:space="preserve"> PAGEREF _Toc94529745 \h </w:instrText>
        </w:r>
        <w:r w:rsidR="009D1CC6" w:rsidRPr="009D1CC6">
          <w:fldChar w:fldCharType="separate"/>
        </w:r>
        <w:r w:rsidR="009D1CC6" w:rsidRPr="009D1CC6">
          <w:t>2</w:t>
        </w:r>
        <w:r w:rsidR="009D1CC6" w:rsidRPr="009D1CC6">
          <w:fldChar w:fldCharType="end"/>
        </w:r>
      </w:hyperlink>
    </w:p>
    <w:p w14:paraId="20171E0A" w14:textId="3954BEAD" w:rsidR="00510CDF" w:rsidRPr="009D1CC6" w:rsidRDefault="00510CDF" w:rsidP="00510CDF">
      <w:r w:rsidRPr="009D1CC6">
        <w:fldChar w:fldCharType="end"/>
      </w:r>
    </w:p>
    <w:p w14:paraId="7B56753A" w14:textId="77777777" w:rsidR="00510CDF" w:rsidRPr="009D1CC6" w:rsidRDefault="00510CDF" w:rsidP="00991A82"/>
    <w:p w14:paraId="10BBEB83" w14:textId="77777777" w:rsidR="00510CDF" w:rsidRPr="009D1CC6" w:rsidRDefault="00510CDF" w:rsidP="00991A82">
      <w:pPr>
        <w:sectPr w:rsidR="00510CDF" w:rsidRPr="009D1CC6" w:rsidSect="00B378E1">
          <w:headerReference w:type="default" r:id="rId11"/>
          <w:footerReference w:type="default" r:id="rId12"/>
          <w:pgSz w:w="11906" w:h="16838" w:code="9"/>
          <w:pgMar w:top="5273" w:right="1928" w:bottom="1134" w:left="1077" w:header="624" w:footer="510" w:gutter="0"/>
          <w:pgNumType w:start="1"/>
          <w:cols w:space="708"/>
          <w:docGrid w:linePitch="360"/>
        </w:sectPr>
      </w:pPr>
    </w:p>
    <w:p w14:paraId="33B68E4C" w14:textId="77777777" w:rsidR="00BB480F" w:rsidRPr="009D1CC6" w:rsidRDefault="00BB480F" w:rsidP="003674C7">
      <w:pPr>
        <w:pStyle w:val="Heading2"/>
      </w:pPr>
      <w:bookmarkStart w:id="0" w:name="_Toc94529745"/>
      <w:r w:rsidRPr="009D1CC6">
        <w:lastRenderedPageBreak/>
        <w:t>Equality Delivery System for the NHS</w:t>
      </w:r>
      <w:bookmarkEnd w:id="0"/>
    </w:p>
    <w:p w14:paraId="7D7DD1DF" w14:textId="16EE41B0" w:rsidR="00BB480F" w:rsidRPr="009D1CC6" w:rsidRDefault="009D1CC6" w:rsidP="00BB480F">
      <w:pPr>
        <w:rPr>
          <w:rFonts w:cs="Arial"/>
          <w:b/>
          <w:i/>
        </w:rPr>
      </w:pPr>
      <w:r w:rsidRPr="009D1CC6">
        <w:rPr>
          <w:rFonts w:cs="Arial"/>
          <w:b/>
          <w:i/>
        </w:rPr>
        <w:t xml:space="preserve">The </w:t>
      </w:r>
      <w:r w:rsidR="00BB480F" w:rsidRPr="009D1CC6">
        <w:rPr>
          <w:rFonts w:cs="Arial"/>
          <w:b/>
          <w:i/>
        </w:rPr>
        <w:t>EDS Report</w:t>
      </w:r>
      <w:r w:rsidRPr="009D1CC6">
        <w:rPr>
          <w:rFonts w:cs="Arial"/>
          <w:b/>
          <w:i/>
        </w:rPr>
        <w:t>ing Template</w:t>
      </w:r>
    </w:p>
    <w:p w14:paraId="5EE9572A" w14:textId="77777777" w:rsidR="00BB480F" w:rsidRPr="009D1CC6" w:rsidRDefault="00BB480F" w:rsidP="00BB480F">
      <w:pPr>
        <w:rPr>
          <w:rFonts w:cs="Arial"/>
        </w:rPr>
      </w:pPr>
    </w:p>
    <w:p w14:paraId="38C1C98A" w14:textId="40B29499"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3"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0715F3BB" w14:textId="211F9A00" w:rsidR="00BB480F" w:rsidRPr="009D1CC6" w:rsidRDefault="00BB480F" w:rsidP="009D1CC6">
      <w:pPr>
        <w:pStyle w:val="BodyText"/>
      </w:pPr>
      <w:r w:rsidRPr="009D1CC6">
        <w:t xml:space="preserve">The EDS is an </w:t>
      </w:r>
      <w:r w:rsidRPr="009D1CC6">
        <w:rPr>
          <w:bCs/>
        </w:rPr>
        <w:t>improvement tool for patients, staff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eadership. It is driven by data, evidence, engagement and insight.</w:t>
      </w:r>
    </w:p>
    <w:p w14:paraId="1599127A" w14:textId="22254C83" w:rsidR="00BB480F" w:rsidRPr="009D1CC6"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14"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C668067"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76"/>
        <w:gridCol w:w="1461"/>
        <w:gridCol w:w="5103"/>
        <w:gridCol w:w="971"/>
        <w:gridCol w:w="1526"/>
        <w:gridCol w:w="2259"/>
      </w:tblGrid>
      <w:tr w:rsidR="00BB480F" w:rsidRPr="009D1CC6" w14:paraId="0222EB8D" w14:textId="77777777" w:rsidTr="003B6D54">
        <w:tc>
          <w:tcPr>
            <w:tcW w:w="3823" w:type="dxa"/>
            <w:gridSpan w:val="2"/>
            <w:vMerge w:val="restart"/>
            <w:shd w:val="clear" w:color="auto" w:fill="BDDEFF" w:themeFill="text2" w:themeFillTint="33"/>
          </w:tcPr>
          <w:p w14:paraId="7358BE17" w14:textId="77777777" w:rsidR="00BB480F" w:rsidRPr="003B6D54" w:rsidRDefault="00BB480F" w:rsidP="00E33027">
            <w:pPr>
              <w:rPr>
                <w:rFonts w:cs="Arial"/>
                <w:b/>
                <w:color w:val="auto"/>
              </w:rPr>
            </w:pPr>
            <w:r w:rsidRPr="003B6D54">
              <w:rPr>
                <w:rFonts w:cs="Arial"/>
                <w:b/>
                <w:color w:val="auto"/>
              </w:rPr>
              <w:lastRenderedPageBreak/>
              <w:t xml:space="preserve">Name of Organisation </w:t>
            </w:r>
          </w:p>
        </w:tc>
        <w:tc>
          <w:tcPr>
            <w:tcW w:w="5249" w:type="dxa"/>
            <w:vMerge w:val="restart"/>
          </w:tcPr>
          <w:p w14:paraId="2E816DEB" w14:textId="593BAD64" w:rsidR="00BB480F" w:rsidRPr="009D1CC6" w:rsidRDefault="00F832C6" w:rsidP="006721A6">
            <w:pPr>
              <w:pStyle w:val="TableTitle"/>
            </w:pPr>
            <w:r>
              <w:t>Countess of Chester Hospital NHS Foundation Trust</w:t>
            </w:r>
          </w:p>
        </w:tc>
        <w:tc>
          <w:tcPr>
            <w:tcW w:w="4876" w:type="dxa"/>
            <w:gridSpan w:val="3"/>
            <w:shd w:val="clear" w:color="auto" w:fill="BDDEFF" w:themeFill="text2" w:themeFillTint="33"/>
          </w:tcPr>
          <w:p w14:paraId="3662AA10" w14:textId="77777777" w:rsidR="00BB480F" w:rsidRPr="003B6D54" w:rsidRDefault="00BB480F" w:rsidP="00E33027">
            <w:pPr>
              <w:rPr>
                <w:rFonts w:cs="Arial"/>
                <w:b/>
                <w:color w:val="auto"/>
              </w:rPr>
            </w:pPr>
            <w:r w:rsidRPr="003B6D54">
              <w:rPr>
                <w:rFonts w:cs="Arial"/>
                <w:b/>
                <w:color w:val="auto"/>
              </w:rPr>
              <w:t>Organisation Board Sponsor/Lead</w:t>
            </w:r>
          </w:p>
        </w:tc>
      </w:tr>
      <w:tr w:rsidR="00BB480F" w:rsidRPr="009D1CC6" w14:paraId="050D237C" w14:textId="77777777" w:rsidTr="003B6D54">
        <w:trPr>
          <w:trHeight w:val="276"/>
        </w:trPr>
        <w:tc>
          <w:tcPr>
            <w:tcW w:w="3823" w:type="dxa"/>
            <w:gridSpan w:val="2"/>
            <w:vMerge/>
            <w:shd w:val="clear" w:color="auto" w:fill="BDDEFF" w:themeFill="text2" w:themeFillTint="33"/>
          </w:tcPr>
          <w:p w14:paraId="10B33B7F" w14:textId="77777777" w:rsidR="00BB480F" w:rsidRPr="003B6D54" w:rsidRDefault="00BB480F" w:rsidP="00E33027">
            <w:pPr>
              <w:rPr>
                <w:rFonts w:cs="Arial"/>
                <w:b/>
                <w:color w:val="auto"/>
              </w:rPr>
            </w:pPr>
          </w:p>
        </w:tc>
        <w:tc>
          <w:tcPr>
            <w:tcW w:w="5249" w:type="dxa"/>
            <w:vMerge/>
          </w:tcPr>
          <w:p w14:paraId="46FE1E40" w14:textId="77777777" w:rsidR="00BB480F" w:rsidRPr="009D1CC6" w:rsidRDefault="00BB480F" w:rsidP="00E33027">
            <w:pPr>
              <w:rPr>
                <w:rFonts w:cs="Arial"/>
              </w:rPr>
            </w:pPr>
          </w:p>
        </w:tc>
        <w:tc>
          <w:tcPr>
            <w:tcW w:w="4876" w:type="dxa"/>
            <w:gridSpan w:val="3"/>
            <w:vMerge w:val="restart"/>
          </w:tcPr>
          <w:p w14:paraId="3A002E27" w14:textId="77777777" w:rsidR="00BB480F" w:rsidRDefault="00F832C6" w:rsidP="006721A6">
            <w:pPr>
              <w:pStyle w:val="TableText"/>
            </w:pPr>
            <w:r>
              <w:t>Chief People Officer</w:t>
            </w:r>
          </w:p>
          <w:p w14:paraId="1DDB670D" w14:textId="2F90ACD3" w:rsidR="00F832C6" w:rsidRPr="009D1CC6" w:rsidRDefault="00F832C6" w:rsidP="006721A6">
            <w:pPr>
              <w:pStyle w:val="TableText"/>
            </w:pPr>
            <w:r>
              <w:t>Director of Nursing and Quality</w:t>
            </w:r>
          </w:p>
        </w:tc>
      </w:tr>
      <w:tr w:rsidR="00BB480F" w:rsidRPr="009D1CC6" w14:paraId="48381A64" w14:textId="77777777" w:rsidTr="003B6D54">
        <w:tc>
          <w:tcPr>
            <w:tcW w:w="2324" w:type="dxa"/>
            <w:shd w:val="clear" w:color="auto" w:fill="BDDEFF" w:themeFill="text2" w:themeFillTint="33"/>
          </w:tcPr>
          <w:p w14:paraId="641703A4" w14:textId="77777777" w:rsidR="00BB480F" w:rsidRPr="003B6D54" w:rsidRDefault="00BB480F" w:rsidP="00E33027">
            <w:pPr>
              <w:rPr>
                <w:rFonts w:cs="Arial"/>
                <w:b/>
                <w:color w:val="auto"/>
              </w:rPr>
            </w:pPr>
          </w:p>
        </w:tc>
        <w:tc>
          <w:tcPr>
            <w:tcW w:w="1499" w:type="dxa"/>
            <w:shd w:val="clear" w:color="auto" w:fill="BDDEFF" w:themeFill="text2" w:themeFillTint="33"/>
          </w:tcPr>
          <w:p w14:paraId="61F3A23D" w14:textId="77777777" w:rsidR="00BB480F" w:rsidRPr="003B6D54" w:rsidRDefault="00BB480F" w:rsidP="00E33027">
            <w:pPr>
              <w:rPr>
                <w:rFonts w:cs="Arial"/>
                <w:b/>
                <w:color w:val="auto"/>
              </w:rPr>
            </w:pPr>
          </w:p>
        </w:tc>
        <w:tc>
          <w:tcPr>
            <w:tcW w:w="5249" w:type="dxa"/>
            <w:shd w:val="clear" w:color="auto" w:fill="BDDEFF" w:themeFill="text2" w:themeFillTint="33"/>
          </w:tcPr>
          <w:p w14:paraId="5AA3DB12" w14:textId="77777777" w:rsidR="00BB480F" w:rsidRPr="009D1CC6" w:rsidRDefault="00BB480F" w:rsidP="00E33027">
            <w:pPr>
              <w:rPr>
                <w:rFonts w:cs="Arial"/>
              </w:rPr>
            </w:pPr>
          </w:p>
        </w:tc>
        <w:tc>
          <w:tcPr>
            <w:tcW w:w="4876" w:type="dxa"/>
            <w:gridSpan w:val="3"/>
            <w:vMerge/>
          </w:tcPr>
          <w:p w14:paraId="5B18245E" w14:textId="77777777" w:rsidR="00BB480F" w:rsidRPr="009D1CC6" w:rsidRDefault="00BB480F" w:rsidP="00E33027">
            <w:pPr>
              <w:rPr>
                <w:rFonts w:cs="Arial"/>
              </w:rPr>
            </w:pPr>
          </w:p>
        </w:tc>
      </w:tr>
      <w:tr w:rsidR="00BB480F" w:rsidRPr="009D1CC6" w14:paraId="13A5E695" w14:textId="77777777" w:rsidTr="003B6D54">
        <w:trPr>
          <w:trHeight w:val="276"/>
        </w:trPr>
        <w:tc>
          <w:tcPr>
            <w:tcW w:w="3823" w:type="dxa"/>
            <w:gridSpan w:val="2"/>
            <w:vMerge w:val="restart"/>
            <w:shd w:val="clear" w:color="auto" w:fill="BDDEFF" w:themeFill="text2" w:themeFillTint="33"/>
          </w:tcPr>
          <w:p w14:paraId="2B594BEA" w14:textId="77777777" w:rsidR="00BB480F" w:rsidRPr="003B6D54" w:rsidRDefault="00BB480F" w:rsidP="00E33027">
            <w:pPr>
              <w:rPr>
                <w:rFonts w:cs="Arial"/>
                <w:b/>
                <w:color w:val="auto"/>
              </w:rPr>
            </w:pPr>
            <w:r w:rsidRPr="003B6D54">
              <w:rPr>
                <w:rFonts w:cs="Arial"/>
                <w:b/>
                <w:color w:val="auto"/>
              </w:rPr>
              <w:t>Name of Integrated Care System</w:t>
            </w:r>
          </w:p>
        </w:tc>
        <w:tc>
          <w:tcPr>
            <w:tcW w:w="5249" w:type="dxa"/>
            <w:vMerge w:val="restart"/>
          </w:tcPr>
          <w:p w14:paraId="1BC224D4" w14:textId="0EA1EC1A" w:rsidR="00BB480F" w:rsidRPr="009D1CC6" w:rsidRDefault="00F832C6" w:rsidP="006721A6">
            <w:pPr>
              <w:pStyle w:val="TableText"/>
            </w:pPr>
            <w:r>
              <w:t>Cheshire and Mersey Integrated Care Board</w:t>
            </w:r>
          </w:p>
        </w:tc>
        <w:tc>
          <w:tcPr>
            <w:tcW w:w="4876" w:type="dxa"/>
            <w:gridSpan w:val="3"/>
            <w:vMerge/>
          </w:tcPr>
          <w:p w14:paraId="020BA42C" w14:textId="77777777" w:rsidR="00BB480F" w:rsidRPr="009D1CC6" w:rsidRDefault="00BB480F" w:rsidP="00E33027">
            <w:pPr>
              <w:rPr>
                <w:rFonts w:cs="Arial"/>
              </w:rPr>
            </w:pPr>
          </w:p>
        </w:tc>
      </w:tr>
      <w:tr w:rsidR="00BB480F" w:rsidRPr="009D1CC6" w14:paraId="1C794FBA" w14:textId="77777777" w:rsidTr="003B6D54">
        <w:tc>
          <w:tcPr>
            <w:tcW w:w="3823" w:type="dxa"/>
            <w:gridSpan w:val="2"/>
            <w:vMerge/>
            <w:shd w:val="clear" w:color="auto" w:fill="BDDEFF" w:themeFill="text2" w:themeFillTint="33"/>
          </w:tcPr>
          <w:p w14:paraId="5E8B9741" w14:textId="77777777" w:rsidR="00BB480F" w:rsidRPr="009D1CC6" w:rsidRDefault="00BB480F" w:rsidP="00E33027">
            <w:pPr>
              <w:rPr>
                <w:rFonts w:cs="Arial"/>
              </w:rPr>
            </w:pPr>
          </w:p>
        </w:tc>
        <w:tc>
          <w:tcPr>
            <w:tcW w:w="5249" w:type="dxa"/>
            <w:vMerge/>
          </w:tcPr>
          <w:p w14:paraId="2C368124" w14:textId="77777777" w:rsidR="00BB480F" w:rsidRPr="009D1CC6" w:rsidRDefault="00BB480F" w:rsidP="00E33027">
            <w:pPr>
              <w:rPr>
                <w:rFonts w:cs="Arial"/>
              </w:rPr>
            </w:pPr>
          </w:p>
        </w:tc>
        <w:tc>
          <w:tcPr>
            <w:tcW w:w="988" w:type="dxa"/>
            <w:shd w:val="clear" w:color="auto" w:fill="BDDEFF" w:themeFill="text2" w:themeFillTint="33"/>
          </w:tcPr>
          <w:p w14:paraId="42050477" w14:textId="77777777" w:rsidR="00BB480F" w:rsidRPr="009D1CC6" w:rsidRDefault="00BB480F" w:rsidP="00E33027">
            <w:pPr>
              <w:rPr>
                <w:rFonts w:cs="Arial"/>
              </w:rPr>
            </w:pPr>
          </w:p>
        </w:tc>
        <w:tc>
          <w:tcPr>
            <w:tcW w:w="1563" w:type="dxa"/>
            <w:shd w:val="clear" w:color="auto" w:fill="BDDEFF" w:themeFill="text2" w:themeFillTint="33"/>
          </w:tcPr>
          <w:p w14:paraId="55892085" w14:textId="77777777" w:rsidR="00BB480F" w:rsidRPr="009D1CC6" w:rsidRDefault="00BB480F" w:rsidP="00E33027">
            <w:pPr>
              <w:rPr>
                <w:rFonts w:cs="Arial"/>
              </w:rPr>
            </w:pPr>
          </w:p>
        </w:tc>
        <w:tc>
          <w:tcPr>
            <w:tcW w:w="2325" w:type="dxa"/>
            <w:shd w:val="clear" w:color="auto" w:fill="BDDEFF" w:themeFill="text2" w:themeFillTint="33"/>
          </w:tcPr>
          <w:p w14:paraId="08B17F9D" w14:textId="77777777" w:rsidR="00BB480F" w:rsidRPr="009D1CC6" w:rsidRDefault="00BB480F" w:rsidP="00E33027">
            <w:pPr>
              <w:rPr>
                <w:rFonts w:cs="Arial"/>
              </w:rPr>
            </w:pPr>
          </w:p>
        </w:tc>
      </w:tr>
    </w:tbl>
    <w:p w14:paraId="74F4540E" w14:textId="77777777" w:rsidR="00BB480F" w:rsidRPr="009D1CC6" w:rsidRDefault="00BB480F" w:rsidP="003B6D54">
      <w:pPr>
        <w:pStyle w:val="Heading2"/>
      </w:pPr>
      <w:r w:rsidRPr="009D1CC6">
        <w:t>NHS Equality Delivery System (EDS)</w:t>
      </w:r>
    </w:p>
    <w:p w14:paraId="5C4993D9"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87"/>
        <w:gridCol w:w="2257"/>
        <w:gridCol w:w="2243"/>
        <w:gridCol w:w="2299"/>
        <w:gridCol w:w="4510"/>
      </w:tblGrid>
      <w:tr w:rsidR="00BB480F" w:rsidRPr="009D1CC6" w14:paraId="1518CDD3" w14:textId="77777777" w:rsidTr="006721A6">
        <w:tc>
          <w:tcPr>
            <w:tcW w:w="2324" w:type="dxa"/>
            <w:shd w:val="clear" w:color="auto" w:fill="BDDEFF" w:themeFill="text2" w:themeFillTint="33"/>
          </w:tcPr>
          <w:p w14:paraId="0DB9C1EE" w14:textId="77777777" w:rsidR="00BB480F" w:rsidRPr="009D1CC6" w:rsidRDefault="00BB480F" w:rsidP="00E33027">
            <w:pPr>
              <w:rPr>
                <w:rFonts w:cs="Arial"/>
                <w:b/>
              </w:rPr>
            </w:pPr>
            <w:r w:rsidRPr="003B6D54">
              <w:rPr>
                <w:rFonts w:cs="Arial"/>
                <w:b/>
                <w:color w:val="auto"/>
              </w:rPr>
              <w:t xml:space="preserve">EDS </w:t>
            </w:r>
            <w:proofErr w:type="gramStart"/>
            <w:r w:rsidRPr="003B6D54">
              <w:rPr>
                <w:rFonts w:cs="Arial"/>
                <w:b/>
                <w:color w:val="auto"/>
              </w:rPr>
              <w:t>Lead</w:t>
            </w:r>
            <w:proofErr w:type="gramEnd"/>
            <w:r w:rsidRPr="003B6D54">
              <w:rPr>
                <w:rFonts w:cs="Arial"/>
                <w:b/>
                <w:color w:val="auto"/>
              </w:rPr>
              <w:t xml:space="preserve"> </w:t>
            </w:r>
          </w:p>
        </w:tc>
        <w:tc>
          <w:tcPr>
            <w:tcW w:w="4649" w:type="dxa"/>
            <w:gridSpan w:val="2"/>
          </w:tcPr>
          <w:p w14:paraId="08F06010" w14:textId="65E83A46" w:rsidR="00D174B9" w:rsidRDefault="00D174B9" w:rsidP="006721A6">
            <w:pPr>
              <w:pStyle w:val="TableText"/>
            </w:pPr>
            <w:r>
              <w:t>Lead for Workforce</w:t>
            </w:r>
          </w:p>
          <w:p w14:paraId="325FC6AA" w14:textId="77777777" w:rsidR="00D174B9" w:rsidRDefault="00D174B9" w:rsidP="006721A6">
            <w:pPr>
              <w:pStyle w:val="TableText"/>
            </w:pPr>
            <w:r>
              <w:t xml:space="preserve">Liz Pritchard </w:t>
            </w:r>
          </w:p>
          <w:p w14:paraId="1506ED40" w14:textId="596CDC8C" w:rsidR="00BB480F" w:rsidRDefault="00D174B9" w:rsidP="006721A6">
            <w:pPr>
              <w:pStyle w:val="TableText"/>
            </w:pPr>
            <w:r>
              <w:t>Deputy Chief People Officer</w:t>
            </w:r>
            <w:r w:rsidR="00F832C6">
              <w:t>.</w:t>
            </w:r>
          </w:p>
          <w:p w14:paraId="0F8FAC01" w14:textId="77777777" w:rsidR="00D174B9" w:rsidRDefault="00D174B9" w:rsidP="006721A6">
            <w:pPr>
              <w:pStyle w:val="TableText"/>
            </w:pPr>
          </w:p>
          <w:p w14:paraId="1E2BA3A6" w14:textId="3745C52C" w:rsidR="00D174B9" w:rsidRDefault="00D174B9" w:rsidP="006721A6">
            <w:pPr>
              <w:pStyle w:val="TableText"/>
            </w:pPr>
            <w:r>
              <w:t>Lead for Patients</w:t>
            </w:r>
          </w:p>
          <w:p w14:paraId="24D68A8C" w14:textId="082ABDEA" w:rsidR="00D174B9" w:rsidRDefault="00D174B9" w:rsidP="006721A6">
            <w:pPr>
              <w:pStyle w:val="TableText"/>
            </w:pPr>
            <w:r>
              <w:t xml:space="preserve">Fiona </w:t>
            </w:r>
            <w:proofErr w:type="spellStart"/>
            <w:r>
              <w:t>Altintas</w:t>
            </w:r>
            <w:proofErr w:type="spellEnd"/>
          </w:p>
          <w:p w14:paraId="5AEC8E36" w14:textId="77777777" w:rsidR="00D174B9" w:rsidRPr="00D174B9" w:rsidRDefault="00D174B9" w:rsidP="00D174B9">
            <w:pPr>
              <w:pStyle w:val="TableText"/>
            </w:pPr>
            <w:r w:rsidRPr="00D174B9">
              <w:t>Deputy Director of Nursing Quality and Governance</w:t>
            </w:r>
          </w:p>
          <w:p w14:paraId="2A516FA0" w14:textId="2BF4301E" w:rsidR="00CD10E4" w:rsidRPr="009D1CC6" w:rsidRDefault="00CD10E4" w:rsidP="006721A6">
            <w:pPr>
              <w:pStyle w:val="TableText"/>
            </w:pPr>
          </w:p>
        </w:tc>
        <w:tc>
          <w:tcPr>
            <w:tcW w:w="6975" w:type="dxa"/>
            <w:gridSpan w:val="2"/>
            <w:shd w:val="clear" w:color="auto" w:fill="BDDEFF" w:themeFill="text2" w:themeFillTint="33"/>
          </w:tcPr>
          <w:p w14:paraId="499469DA" w14:textId="77777777" w:rsidR="00CD10E4" w:rsidRDefault="00BB480F" w:rsidP="00E33027">
            <w:pPr>
              <w:rPr>
                <w:rFonts w:cs="Arial"/>
                <w:b/>
                <w:color w:val="auto"/>
              </w:rPr>
            </w:pPr>
            <w:r w:rsidRPr="006721A6">
              <w:rPr>
                <w:rFonts w:cs="Arial"/>
                <w:b/>
                <w:color w:val="auto"/>
              </w:rPr>
              <w:t>At what level has this been completed?</w:t>
            </w:r>
            <w:r w:rsidR="00F832C6">
              <w:rPr>
                <w:rFonts w:cs="Arial"/>
                <w:b/>
                <w:color w:val="auto"/>
              </w:rPr>
              <w:t xml:space="preserve"> </w:t>
            </w:r>
          </w:p>
          <w:p w14:paraId="11340E64" w14:textId="4B501552" w:rsidR="00BB480F" w:rsidRPr="00D174B9" w:rsidRDefault="00D174B9" w:rsidP="00E33027">
            <w:pPr>
              <w:rPr>
                <w:rFonts w:cs="Arial"/>
                <w:bCs/>
                <w:color w:val="auto"/>
              </w:rPr>
            </w:pPr>
            <w:r w:rsidRPr="00D174B9">
              <w:rPr>
                <w:rFonts w:cs="Arial"/>
                <w:bCs/>
                <w:color w:val="auto"/>
              </w:rPr>
              <w:t>Deputy Director</w:t>
            </w:r>
          </w:p>
        </w:tc>
      </w:tr>
      <w:tr w:rsidR="00BB480F" w:rsidRPr="009D1CC6" w14:paraId="39A809E4" w14:textId="77777777" w:rsidTr="006721A6">
        <w:tc>
          <w:tcPr>
            <w:tcW w:w="2324" w:type="dxa"/>
            <w:shd w:val="clear" w:color="auto" w:fill="BDDEFF" w:themeFill="text2" w:themeFillTint="33"/>
          </w:tcPr>
          <w:p w14:paraId="739CD3AB" w14:textId="77777777" w:rsidR="00BB480F" w:rsidRPr="009D1CC6" w:rsidRDefault="00BB480F" w:rsidP="00E33027">
            <w:pPr>
              <w:rPr>
                <w:rFonts w:cs="Arial"/>
              </w:rPr>
            </w:pPr>
          </w:p>
        </w:tc>
        <w:tc>
          <w:tcPr>
            <w:tcW w:w="2324" w:type="dxa"/>
            <w:shd w:val="clear" w:color="auto" w:fill="BDDEFF" w:themeFill="text2" w:themeFillTint="33"/>
          </w:tcPr>
          <w:p w14:paraId="627133EA" w14:textId="77777777" w:rsidR="00BB480F" w:rsidRPr="009D1CC6" w:rsidRDefault="00BB480F" w:rsidP="00E33027">
            <w:pPr>
              <w:rPr>
                <w:rFonts w:cs="Arial"/>
              </w:rPr>
            </w:pPr>
          </w:p>
        </w:tc>
        <w:tc>
          <w:tcPr>
            <w:tcW w:w="2325" w:type="dxa"/>
            <w:shd w:val="clear" w:color="auto" w:fill="BDDEFF" w:themeFill="text2" w:themeFillTint="33"/>
          </w:tcPr>
          <w:p w14:paraId="2BE18E52" w14:textId="77777777" w:rsidR="00BB480F" w:rsidRPr="009D1CC6" w:rsidRDefault="00BB480F" w:rsidP="00E33027">
            <w:pPr>
              <w:rPr>
                <w:rFonts w:cs="Arial"/>
              </w:rPr>
            </w:pPr>
          </w:p>
        </w:tc>
        <w:tc>
          <w:tcPr>
            <w:tcW w:w="2325" w:type="dxa"/>
            <w:shd w:val="clear" w:color="auto" w:fill="BDDEFF" w:themeFill="text2" w:themeFillTint="33"/>
          </w:tcPr>
          <w:p w14:paraId="071DB25D" w14:textId="77777777" w:rsidR="00BB480F" w:rsidRPr="009D1CC6" w:rsidRDefault="00BB480F" w:rsidP="00E33027">
            <w:pPr>
              <w:rPr>
                <w:rFonts w:cs="Arial"/>
              </w:rPr>
            </w:pPr>
          </w:p>
        </w:tc>
        <w:tc>
          <w:tcPr>
            <w:tcW w:w="4650" w:type="dxa"/>
            <w:shd w:val="clear" w:color="auto" w:fill="BDDEFF" w:themeFill="text2" w:themeFillTint="33"/>
          </w:tcPr>
          <w:p w14:paraId="195053B5" w14:textId="77777777" w:rsidR="00BB480F" w:rsidRPr="009D1CC6" w:rsidRDefault="00BB480F" w:rsidP="00E33027">
            <w:pPr>
              <w:jc w:val="center"/>
              <w:rPr>
                <w:rFonts w:cs="Arial"/>
                <w:b/>
                <w:color w:val="FFFFFF" w:themeColor="background1"/>
              </w:rPr>
            </w:pPr>
            <w:r w:rsidRPr="006721A6">
              <w:rPr>
                <w:rFonts w:cs="Arial"/>
                <w:b/>
                <w:color w:val="auto"/>
              </w:rPr>
              <w:t>*List organisations</w:t>
            </w:r>
          </w:p>
        </w:tc>
      </w:tr>
      <w:tr w:rsidR="00BB480F" w:rsidRPr="009D1CC6" w14:paraId="20C844BA" w14:textId="77777777" w:rsidTr="006721A6">
        <w:trPr>
          <w:trHeight w:val="510"/>
        </w:trPr>
        <w:tc>
          <w:tcPr>
            <w:tcW w:w="2324" w:type="dxa"/>
            <w:shd w:val="clear" w:color="auto" w:fill="BDDEFF" w:themeFill="text2" w:themeFillTint="33"/>
          </w:tcPr>
          <w:p w14:paraId="7E904013" w14:textId="77777777" w:rsidR="00BB480F" w:rsidRPr="009D1CC6" w:rsidRDefault="00BB480F" w:rsidP="00E33027">
            <w:pPr>
              <w:rPr>
                <w:rFonts w:cs="Arial"/>
                <w:b/>
                <w:color w:val="FFFFFF" w:themeColor="background1"/>
              </w:rPr>
            </w:pPr>
            <w:r w:rsidRPr="003B6D54">
              <w:rPr>
                <w:rFonts w:cs="Arial"/>
                <w:b/>
                <w:color w:val="auto"/>
              </w:rPr>
              <w:t>EDS engagement date(s)</w:t>
            </w:r>
          </w:p>
        </w:tc>
        <w:tc>
          <w:tcPr>
            <w:tcW w:w="4649" w:type="dxa"/>
            <w:gridSpan w:val="2"/>
          </w:tcPr>
          <w:p w14:paraId="1640DD4A" w14:textId="77777777" w:rsidR="00BB480F" w:rsidRDefault="00CD10E4" w:rsidP="006721A6">
            <w:pPr>
              <w:pStyle w:val="TableText"/>
            </w:pPr>
            <w:bookmarkStart w:id="1" w:name="_Hlk219990111"/>
            <w:r>
              <w:t>EDS Domains 2 &amp; 3</w:t>
            </w:r>
          </w:p>
          <w:p w14:paraId="015DF34E" w14:textId="0451F603" w:rsidR="00CD10E4" w:rsidRDefault="00CD10E4" w:rsidP="006721A6">
            <w:pPr>
              <w:pStyle w:val="TableText"/>
            </w:pPr>
            <w:r>
              <w:t>Internal Stakeholder Engagement – 8</w:t>
            </w:r>
            <w:r w:rsidRPr="00CD10E4">
              <w:rPr>
                <w:vertAlign w:val="superscript"/>
              </w:rPr>
              <w:t>th</w:t>
            </w:r>
            <w:r>
              <w:t xml:space="preserve"> January 26</w:t>
            </w:r>
          </w:p>
          <w:p w14:paraId="5CCD347B" w14:textId="62B1BCBA" w:rsidR="00CD10E4" w:rsidRDefault="00CD10E4" w:rsidP="006721A6">
            <w:pPr>
              <w:pStyle w:val="TableText"/>
            </w:pPr>
            <w:r>
              <w:t>External Stakeholder Engagement – 12</w:t>
            </w:r>
            <w:r w:rsidRPr="00CD10E4">
              <w:rPr>
                <w:vertAlign w:val="superscript"/>
              </w:rPr>
              <w:t>th</w:t>
            </w:r>
            <w:r>
              <w:t xml:space="preserve"> January 26</w:t>
            </w:r>
          </w:p>
          <w:p w14:paraId="0273F847" w14:textId="52C9622C" w:rsidR="009A625A" w:rsidRDefault="009A625A" w:rsidP="006721A6">
            <w:pPr>
              <w:pStyle w:val="TableText"/>
            </w:pPr>
            <w:r>
              <w:t xml:space="preserve">EDS Domain 1 Stakeholder </w:t>
            </w:r>
            <w:r w:rsidR="0061696E">
              <w:t>engagement -</w:t>
            </w:r>
            <w:r>
              <w:t xml:space="preserve"> 28</w:t>
            </w:r>
            <w:r w:rsidRPr="009A625A">
              <w:rPr>
                <w:vertAlign w:val="superscript"/>
              </w:rPr>
              <w:t>th</w:t>
            </w:r>
            <w:r>
              <w:t xml:space="preserve"> Jan and 13</w:t>
            </w:r>
            <w:r w:rsidRPr="009A625A">
              <w:rPr>
                <w:vertAlign w:val="superscript"/>
              </w:rPr>
              <w:t>th</w:t>
            </w:r>
            <w:r>
              <w:t xml:space="preserve"> Feb 26</w:t>
            </w:r>
          </w:p>
          <w:bookmarkEnd w:id="1"/>
          <w:p w14:paraId="7EF70758" w14:textId="77B63D6D" w:rsidR="00CD10E4" w:rsidRPr="009D1CC6" w:rsidRDefault="00CD10E4" w:rsidP="006721A6">
            <w:pPr>
              <w:pStyle w:val="TableText"/>
            </w:pPr>
          </w:p>
        </w:tc>
        <w:tc>
          <w:tcPr>
            <w:tcW w:w="2325" w:type="dxa"/>
            <w:shd w:val="clear" w:color="auto" w:fill="BDDEFF" w:themeFill="text2" w:themeFillTint="33"/>
          </w:tcPr>
          <w:p w14:paraId="65E1B147" w14:textId="77777777" w:rsidR="00BB480F" w:rsidRPr="006721A6" w:rsidRDefault="00BB480F" w:rsidP="00E33027">
            <w:pPr>
              <w:rPr>
                <w:rFonts w:cs="Arial"/>
                <w:b/>
                <w:color w:val="auto"/>
              </w:rPr>
            </w:pPr>
            <w:r w:rsidRPr="006721A6">
              <w:rPr>
                <w:rFonts w:cs="Arial"/>
                <w:b/>
                <w:color w:val="auto"/>
              </w:rPr>
              <w:t xml:space="preserve">Individual organisation </w:t>
            </w:r>
          </w:p>
        </w:tc>
        <w:tc>
          <w:tcPr>
            <w:tcW w:w="4650" w:type="dxa"/>
          </w:tcPr>
          <w:p w14:paraId="1E5AE9CE" w14:textId="58693D78" w:rsidR="00BB480F" w:rsidRPr="009D1CC6" w:rsidRDefault="00F832C6" w:rsidP="006721A6">
            <w:pPr>
              <w:pStyle w:val="TableText"/>
            </w:pPr>
            <w:r>
              <w:t>Countess of Chester Hospital NHS Foundation Trust</w:t>
            </w:r>
          </w:p>
        </w:tc>
      </w:tr>
      <w:tr w:rsidR="00BB480F" w:rsidRPr="009D1CC6" w14:paraId="1863CAB5" w14:textId="77777777" w:rsidTr="006721A6">
        <w:trPr>
          <w:trHeight w:val="835"/>
        </w:trPr>
        <w:tc>
          <w:tcPr>
            <w:tcW w:w="2324" w:type="dxa"/>
            <w:shd w:val="clear" w:color="auto" w:fill="BDDEFF" w:themeFill="text2" w:themeFillTint="33"/>
          </w:tcPr>
          <w:p w14:paraId="3E015296" w14:textId="77777777" w:rsidR="00BB480F" w:rsidRPr="009D1CC6" w:rsidRDefault="00BB480F" w:rsidP="00E33027">
            <w:pPr>
              <w:rPr>
                <w:rFonts w:cs="Arial"/>
              </w:rPr>
            </w:pPr>
          </w:p>
        </w:tc>
        <w:tc>
          <w:tcPr>
            <w:tcW w:w="2324" w:type="dxa"/>
            <w:shd w:val="clear" w:color="auto" w:fill="BDDEFF" w:themeFill="text2" w:themeFillTint="33"/>
          </w:tcPr>
          <w:p w14:paraId="53CA151D" w14:textId="77777777" w:rsidR="00BB480F" w:rsidRPr="009D1CC6" w:rsidRDefault="00BB480F" w:rsidP="00E33027">
            <w:pPr>
              <w:rPr>
                <w:rFonts w:cs="Arial"/>
              </w:rPr>
            </w:pPr>
          </w:p>
        </w:tc>
        <w:tc>
          <w:tcPr>
            <w:tcW w:w="2325" w:type="dxa"/>
            <w:shd w:val="clear" w:color="auto" w:fill="BDDEFF" w:themeFill="text2" w:themeFillTint="33"/>
          </w:tcPr>
          <w:p w14:paraId="0A98E476" w14:textId="77777777" w:rsidR="00BB480F" w:rsidRPr="009D1CC6" w:rsidRDefault="00BB480F" w:rsidP="00E33027">
            <w:pPr>
              <w:rPr>
                <w:rFonts w:cs="Arial"/>
              </w:rPr>
            </w:pPr>
          </w:p>
        </w:tc>
        <w:tc>
          <w:tcPr>
            <w:tcW w:w="2325" w:type="dxa"/>
            <w:shd w:val="clear" w:color="auto" w:fill="BDDEFF" w:themeFill="text2" w:themeFillTint="33"/>
          </w:tcPr>
          <w:p w14:paraId="26813E10" w14:textId="77777777" w:rsidR="00BB480F" w:rsidRPr="006721A6" w:rsidRDefault="00BB480F" w:rsidP="00E33027">
            <w:pPr>
              <w:rPr>
                <w:rFonts w:cs="Arial"/>
                <w:b/>
                <w:color w:val="auto"/>
              </w:rPr>
            </w:pPr>
            <w:r w:rsidRPr="006721A6">
              <w:rPr>
                <w:rFonts w:cs="Arial"/>
                <w:b/>
                <w:color w:val="auto"/>
              </w:rPr>
              <w:t>Partnership* (two or more organisations)</w:t>
            </w:r>
          </w:p>
        </w:tc>
        <w:tc>
          <w:tcPr>
            <w:tcW w:w="4650" w:type="dxa"/>
          </w:tcPr>
          <w:p w14:paraId="5AF097CE" w14:textId="77777777" w:rsidR="00BB480F" w:rsidRDefault="00F832C6" w:rsidP="006721A6">
            <w:pPr>
              <w:pStyle w:val="TableText"/>
            </w:pPr>
            <w:r>
              <w:t>Cheshire Wirral Partnership NHS Foundation Trust</w:t>
            </w:r>
          </w:p>
          <w:p w14:paraId="63E4855C" w14:textId="77777777" w:rsidR="00CD10E4" w:rsidRDefault="00CD10E4" w:rsidP="00CD10E4">
            <w:r w:rsidRPr="00CD10E4">
              <w:t>Wirral Community Health and Care NHS Foundation Trust &amp; Wirral University Teaching Hospital NHS Foundation Trust</w:t>
            </w:r>
          </w:p>
          <w:p w14:paraId="5411A0C1" w14:textId="0F6D21A9" w:rsidR="009A625A" w:rsidRPr="00CD10E4" w:rsidRDefault="009A625A" w:rsidP="00CD10E4">
            <w:r>
              <w:t xml:space="preserve">Healthwatch </w:t>
            </w:r>
          </w:p>
          <w:p w14:paraId="4736B252" w14:textId="5F35E163" w:rsidR="00F832C6" w:rsidRPr="009D1CC6" w:rsidRDefault="00F832C6" w:rsidP="006721A6">
            <w:pPr>
              <w:pStyle w:val="TableText"/>
            </w:pPr>
          </w:p>
        </w:tc>
      </w:tr>
      <w:tr w:rsidR="00BB480F" w:rsidRPr="009D1CC6" w14:paraId="736710D5" w14:textId="77777777" w:rsidTr="006721A6">
        <w:trPr>
          <w:trHeight w:val="708"/>
        </w:trPr>
        <w:tc>
          <w:tcPr>
            <w:tcW w:w="2324" w:type="dxa"/>
            <w:shd w:val="clear" w:color="auto" w:fill="BDDEFF" w:themeFill="text2" w:themeFillTint="33"/>
          </w:tcPr>
          <w:p w14:paraId="47645034" w14:textId="77777777" w:rsidR="00BB480F" w:rsidRPr="009D1CC6" w:rsidRDefault="00BB480F" w:rsidP="00E33027">
            <w:pPr>
              <w:rPr>
                <w:rFonts w:cs="Arial"/>
              </w:rPr>
            </w:pPr>
          </w:p>
        </w:tc>
        <w:tc>
          <w:tcPr>
            <w:tcW w:w="2324" w:type="dxa"/>
            <w:shd w:val="clear" w:color="auto" w:fill="BDDEFF" w:themeFill="text2" w:themeFillTint="33"/>
          </w:tcPr>
          <w:p w14:paraId="6E65BB8C" w14:textId="77777777" w:rsidR="00BB480F" w:rsidRPr="009D1CC6" w:rsidRDefault="00BB480F" w:rsidP="00E33027">
            <w:pPr>
              <w:rPr>
                <w:rFonts w:cs="Arial"/>
              </w:rPr>
            </w:pPr>
          </w:p>
        </w:tc>
        <w:tc>
          <w:tcPr>
            <w:tcW w:w="2325" w:type="dxa"/>
            <w:shd w:val="clear" w:color="auto" w:fill="BDDEFF" w:themeFill="text2" w:themeFillTint="33"/>
          </w:tcPr>
          <w:p w14:paraId="4FD8CFD6" w14:textId="77777777" w:rsidR="00BB480F" w:rsidRPr="009D1CC6" w:rsidRDefault="00BB480F" w:rsidP="00E33027">
            <w:pPr>
              <w:rPr>
                <w:rFonts w:cs="Arial"/>
              </w:rPr>
            </w:pPr>
          </w:p>
        </w:tc>
        <w:tc>
          <w:tcPr>
            <w:tcW w:w="2325" w:type="dxa"/>
            <w:shd w:val="clear" w:color="auto" w:fill="BDDEFF" w:themeFill="text2" w:themeFillTint="33"/>
          </w:tcPr>
          <w:p w14:paraId="4BAA26D3" w14:textId="77777777" w:rsidR="00BB480F" w:rsidRPr="006721A6" w:rsidRDefault="00BB480F" w:rsidP="00E33027">
            <w:pPr>
              <w:rPr>
                <w:rFonts w:cs="Arial"/>
                <w:b/>
                <w:color w:val="auto"/>
              </w:rPr>
            </w:pPr>
            <w:r w:rsidRPr="006721A6">
              <w:rPr>
                <w:rFonts w:cs="Arial"/>
                <w:b/>
                <w:color w:val="auto"/>
              </w:rPr>
              <w:t>Integrated Care System-wide*</w:t>
            </w:r>
          </w:p>
        </w:tc>
        <w:tc>
          <w:tcPr>
            <w:tcW w:w="4650" w:type="dxa"/>
          </w:tcPr>
          <w:p w14:paraId="59A03D93" w14:textId="51D9D073" w:rsidR="00BB480F" w:rsidRPr="009D1CC6" w:rsidRDefault="00033C32" w:rsidP="006721A6">
            <w:pPr>
              <w:pStyle w:val="TableText"/>
            </w:pPr>
            <w:r>
              <w:t>Not applicable</w:t>
            </w:r>
          </w:p>
        </w:tc>
      </w:tr>
    </w:tbl>
    <w:p w14:paraId="53FDB2D0"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32"/>
        <w:gridCol w:w="4565"/>
        <w:gridCol w:w="3400"/>
        <w:gridCol w:w="3399"/>
      </w:tblGrid>
      <w:tr w:rsidR="006721A6" w:rsidRPr="006721A6" w14:paraId="3FCF24A1" w14:textId="77777777" w:rsidTr="006B2129">
        <w:tc>
          <w:tcPr>
            <w:tcW w:w="2268" w:type="dxa"/>
            <w:shd w:val="clear" w:color="auto" w:fill="BDDEFF" w:themeFill="text2" w:themeFillTint="33"/>
          </w:tcPr>
          <w:p w14:paraId="46C1C415" w14:textId="77777777" w:rsidR="00BB480F" w:rsidRPr="006721A6" w:rsidRDefault="00BB480F" w:rsidP="00E33027">
            <w:pPr>
              <w:rPr>
                <w:rFonts w:cs="Arial"/>
                <w:b/>
                <w:color w:val="auto"/>
              </w:rPr>
            </w:pPr>
            <w:r w:rsidRPr="006721A6">
              <w:rPr>
                <w:rFonts w:cs="Arial"/>
                <w:b/>
                <w:color w:val="auto"/>
              </w:rPr>
              <w:t>Date completed</w:t>
            </w:r>
          </w:p>
        </w:tc>
        <w:tc>
          <w:tcPr>
            <w:tcW w:w="4706" w:type="dxa"/>
          </w:tcPr>
          <w:p w14:paraId="128C3066" w14:textId="5026E5C9" w:rsidR="00BB480F" w:rsidRPr="006721A6" w:rsidRDefault="002170A1" w:rsidP="006B2129">
            <w:pPr>
              <w:pStyle w:val="TableText"/>
            </w:pPr>
            <w:r>
              <w:t>February 26</w:t>
            </w:r>
          </w:p>
        </w:tc>
        <w:tc>
          <w:tcPr>
            <w:tcW w:w="3487" w:type="dxa"/>
            <w:shd w:val="clear" w:color="auto" w:fill="BDDEFF" w:themeFill="text2" w:themeFillTint="33"/>
          </w:tcPr>
          <w:p w14:paraId="27297992"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487" w:type="dxa"/>
          </w:tcPr>
          <w:p w14:paraId="7D299892" w14:textId="1BE55B64" w:rsidR="00BB480F" w:rsidRPr="006B2129" w:rsidRDefault="002170A1" w:rsidP="006B2129">
            <w:pPr>
              <w:pStyle w:val="TableText"/>
            </w:pPr>
            <w:r>
              <w:t>February 26</w:t>
            </w:r>
          </w:p>
        </w:tc>
      </w:tr>
      <w:tr w:rsidR="00BB480F" w:rsidRPr="009D1CC6" w14:paraId="701C6C8C" w14:textId="77777777" w:rsidTr="006B2129">
        <w:tc>
          <w:tcPr>
            <w:tcW w:w="2268" w:type="dxa"/>
            <w:shd w:val="clear" w:color="auto" w:fill="BDDEFF" w:themeFill="text2" w:themeFillTint="33"/>
          </w:tcPr>
          <w:p w14:paraId="08BD1D9E"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5A25E3CE" w14:textId="77777777" w:rsidR="00BB480F" w:rsidRPr="009D1CC6" w:rsidRDefault="00BB480F" w:rsidP="00E33027">
            <w:pPr>
              <w:rPr>
                <w:rFonts w:cs="Arial"/>
              </w:rPr>
            </w:pPr>
          </w:p>
        </w:tc>
        <w:tc>
          <w:tcPr>
            <w:tcW w:w="3487" w:type="dxa"/>
            <w:shd w:val="clear" w:color="auto" w:fill="BDDEFF" w:themeFill="text2" w:themeFillTint="33"/>
          </w:tcPr>
          <w:p w14:paraId="7AA13285"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151C0C9C" w14:textId="77777777" w:rsidR="00BB480F" w:rsidRPr="009D1CC6" w:rsidRDefault="00BB480F" w:rsidP="00E33027">
            <w:pPr>
              <w:rPr>
                <w:rFonts w:cs="Arial"/>
              </w:rPr>
            </w:pPr>
          </w:p>
        </w:tc>
      </w:tr>
      <w:tr w:rsidR="00BB480F" w:rsidRPr="009D1CC6" w14:paraId="5D4BC514" w14:textId="77777777" w:rsidTr="006B2129">
        <w:tc>
          <w:tcPr>
            <w:tcW w:w="2268" w:type="dxa"/>
            <w:shd w:val="clear" w:color="auto" w:fill="BDDEFF" w:themeFill="text2" w:themeFillTint="33"/>
          </w:tcPr>
          <w:p w14:paraId="0D7D39B0" w14:textId="77777777" w:rsidR="00BB480F" w:rsidRPr="006721A6" w:rsidRDefault="00BB480F" w:rsidP="00E33027">
            <w:pPr>
              <w:rPr>
                <w:rFonts w:cs="Arial"/>
                <w:b/>
                <w:color w:val="auto"/>
              </w:rPr>
            </w:pPr>
            <w:r w:rsidRPr="006721A6">
              <w:rPr>
                <w:rFonts w:cs="Arial"/>
                <w:b/>
                <w:color w:val="auto"/>
              </w:rPr>
              <w:t xml:space="preserve">Date authorised </w:t>
            </w:r>
          </w:p>
        </w:tc>
        <w:tc>
          <w:tcPr>
            <w:tcW w:w="4706" w:type="dxa"/>
          </w:tcPr>
          <w:p w14:paraId="181ACE1C" w14:textId="7E3BCB2D" w:rsidR="00BB480F" w:rsidRPr="009D1CC6" w:rsidRDefault="002170A1" w:rsidP="006B2129">
            <w:pPr>
              <w:pStyle w:val="TableText"/>
            </w:pPr>
            <w:r>
              <w:t>February 26</w:t>
            </w:r>
          </w:p>
        </w:tc>
        <w:tc>
          <w:tcPr>
            <w:tcW w:w="3487" w:type="dxa"/>
            <w:shd w:val="clear" w:color="auto" w:fill="BDDEFF" w:themeFill="text2" w:themeFillTint="33"/>
          </w:tcPr>
          <w:p w14:paraId="5761D25A"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487" w:type="dxa"/>
          </w:tcPr>
          <w:p w14:paraId="5ECF99CA" w14:textId="381377E0" w:rsidR="00BB480F" w:rsidRPr="009D1CC6" w:rsidRDefault="002170A1" w:rsidP="006B2129">
            <w:pPr>
              <w:pStyle w:val="TableText"/>
            </w:pPr>
            <w:r>
              <w:t>Not Applicable</w:t>
            </w:r>
          </w:p>
        </w:tc>
      </w:tr>
      <w:tr w:rsidR="00BB480F" w:rsidRPr="009D1CC6" w14:paraId="6E6D5797" w14:textId="77777777" w:rsidTr="006B2129">
        <w:tc>
          <w:tcPr>
            <w:tcW w:w="2268" w:type="dxa"/>
            <w:shd w:val="clear" w:color="auto" w:fill="BDDEFF" w:themeFill="text2" w:themeFillTint="33"/>
          </w:tcPr>
          <w:p w14:paraId="3ED48348"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79BD3406" w14:textId="77777777" w:rsidR="00BB480F" w:rsidRPr="009D1CC6" w:rsidRDefault="00BB480F" w:rsidP="00E33027">
            <w:pPr>
              <w:rPr>
                <w:rFonts w:cs="Arial"/>
              </w:rPr>
            </w:pPr>
          </w:p>
        </w:tc>
        <w:tc>
          <w:tcPr>
            <w:tcW w:w="3487" w:type="dxa"/>
            <w:shd w:val="clear" w:color="auto" w:fill="BDDEFF" w:themeFill="text2" w:themeFillTint="33"/>
          </w:tcPr>
          <w:p w14:paraId="6A81C655"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0FA2AA56" w14:textId="77777777" w:rsidR="00BB480F" w:rsidRPr="009D1CC6" w:rsidRDefault="00BB480F" w:rsidP="00E33027">
            <w:pPr>
              <w:rPr>
                <w:rFonts w:cs="Arial"/>
              </w:rPr>
            </w:pPr>
          </w:p>
        </w:tc>
      </w:tr>
    </w:tbl>
    <w:p w14:paraId="73C63E74" w14:textId="77777777" w:rsidR="00BB480F" w:rsidRPr="009D1CC6" w:rsidRDefault="00BB480F" w:rsidP="00BB480F">
      <w:pPr>
        <w:rPr>
          <w:rFonts w:cs="Arial"/>
        </w:rPr>
      </w:pPr>
    </w:p>
    <w:p w14:paraId="79D1E418" w14:textId="623E7223" w:rsidR="00BB480F" w:rsidRPr="009D1CC6" w:rsidRDefault="00BB480F" w:rsidP="00BB480F">
      <w:pPr>
        <w:rPr>
          <w:rFonts w:cs="Arial"/>
          <w:b/>
        </w:rPr>
      </w:pPr>
      <w:r w:rsidRPr="009D1CC6">
        <w:rPr>
          <w:rFonts w:cs="Arial"/>
        </w:rPr>
        <w:br w:type="page"/>
      </w:r>
      <w:r w:rsidRPr="009D1CC6">
        <w:rPr>
          <w:rFonts w:cs="Arial"/>
          <w:b/>
        </w:rPr>
        <w:lastRenderedPageBreak/>
        <w:tab/>
      </w:r>
      <w:r w:rsidRPr="009D1CC6">
        <w:rPr>
          <w:rFonts w:cs="Arial"/>
          <w:b/>
        </w:rPr>
        <w:tab/>
      </w:r>
      <w:r w:rsidRPr="009D1CC6">
        <w:rPr>
          <w:rFonts w:cs="Arial"/>
          <w:b/>
        </w:rPr>
        <w:tab/>
      </w:r>
    </w:p>
    <w:tbl>
      <w:tblPr>
        <w:tblStyle w:val="TableGrid"/>
        <w:tblpPr w:leftFromText="180" w:rightFromText="180" w:vertAnchor="page" w:horzAnchor="margin" w:tblpY="1938"/>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8967"/>
        <w:gridCol w:w="4629"/>
      </w:tblGrid>
      <w:tr w:rsidR="00BB480F" w:rsidRPr="009D1CC6" w14:paraId="1E6305FF" w14:textId="77777777" w:rsidTr="006734F1">
        <w:tc>
          <w:tcPr>
            <w:tcW w:w="13596" w:type="dxa"/>
            <w:gridSpan w:val="2"/>
            <w:shd w:val="clear" w:color="auto" w:fill="BDDEFF" w:themeFill="text2" w:themeFillTint="33"/>
            <w:vAlign w:val="center"/>
          </w:tcPr>
          <w:p w14:paraId="04287026" w14:textId="60FCAA5F" w:rsidR="00BB480F" w:rsidRPr="0032702A" w:rsidRDefault="00BB480F" w:rsidP="006B2129">
            <w:pPr>
              <w:jc w:val="center"/>
              <w:rPr>
                <w:rFonts w:cs="Arial"/>
                <w:b/>
                <w:color w:val="auto"/>
              </w:rPr>
            </w:pPr>
            <w:r w:rsidRPr="0032702A">
              <w:rPr>
                <w:rFonts w:cs="Arial"/>
                <w:b/>
                <w:color w:val="auto"/>
              </w:rPr>
              <w:t>Completed actions from previous year</w:t>
            </w:r>
            <w:r w:rsidR="00D174B9">
              <w:rPr>
                <w:rFonts w:cs="Arial"/>
                <w:b/>
                <w:color w:val="auto"/>
              </w:rPr>
              <w:t xml:space="preserve"> </w:t>
            </w:r>
          </w:p>
        </w:tc>
      </w:tr>
      <w:tr w:rsidR="00BB480F" w:rsidRPr="009D1CC6" w14:paraId="2044FCA5" w14:textId="77777777" w:rsidTr="006734F1">
        <w:tc>
          <w:tcPr>
            <w:tcW w:w="8967" w:type="dxa"/>
            <w:shd w:val="clear" w:color="auto" w:fill="BDDEFF" w:themeFill="text2" w:themeFillTint="33"/>
            <w:vAlign w:val="center"/>
          </w:tcPr>
          <w:p w14:paraId="57E9D736" w14:textId="77777777" w:rsidR="00BB480F" w:rsidRPr="0032702A" w:rsidRDefault="00BB480F" w:rsidP="006B2129">
            <w:pPr>
              <w:jc w:val="center"/>
              <w:rPr>
                <w:rFonts w:cs="Arial"/>
                <w:b/>
                <w:color w:val="auto"/>
              </w:rPr>
            </w:pPr>
            <w:r w:rsidRPr="0032702A">
              <w:rPr>
                <w:rFonts w:cs="Arial"/>
                <w:b/>
                <w:color w:val="auto"/>
              </w:rPr>
              <w:t>Action/activity</w:t>
            </w:r>
          </w:p>
        </w:tc>
        <w:tc>
          <w:tcPr>
            <w:tcW w:w="4629" w:type="dxa"/>
            <w:shd w:val="clear" w:color="auto" w:fill="BDDEFF" w:themeFill="text2" w:themeFillTint="33"/>
            <w:vAlign w:val="center"/>
          </w:tcPr>
          <w:p w14:paraId="40F208B6" w14:textId="77777777" w:rsidR="00BB480F" w:rsidRPr="0032702A" w:rsidRDefault="00BB480F" w:rsidP="006B2129">
            <w:pPr>
              <w:jc w:val="center"/>
              <w:rPr>
                <w:rFonts w:cs="Arial"/>
                <w:b/>
                <w:color w:val="auto"/>
              </w:rPr>
            </w:pPr>
            <w:r w:rsidRPr="0032702A">
              <w:rPr>
                <w:rFonts w:cs="Arial"/>
                <w:b/>
                <w:color w:val="auto"/>
              </w:rPr>
              <w:t>Related equality objectives</w:t>
            </w:r>
          </w:p>
        </w:tc>
      </w:tr>
      <w:tr w:rsidR="00D174B9" w:rsidRPr="009D1CC6" w14:paraId="49890D99" w14:textId="77777777" w:rsidTr="006734F1">
        <w:trPr>
          <w:trHeight w:val="397"/>
        </w:trPr>
        <w:tc>
          <w:tcPr>
            <w:tcW w:w="8967" w:type="dxa"/>
          </w:tcPr>
          <w:p w14:paraId="0ABA6877" w14:textId="77777777" w:rsidR="00D174B9" w:rsidRDefault="00D174B9" w:rsidP="00C633A0">
            <w:pPr>
              <w:pStyle w:val="ListParagraph"/>
            </w:pPr>
          </w:p>
          <w:p w14:paraId="2AF1E8B8" w14:textId="78DA07DE" w:rsidR="0061696E" w:rsidRDefault="0061696E" w:rsidP="00C633A0">
            <w:pPr>
              <w:pStyle w:val="ListParagraph"/>
              <w:numPr>
                <w:ilvl w:val="0"/>
                <w:numId w:val="12"/>
              </w:numPr>
            </w:pPr>
            <w:r>
              <w:t xml:space="preserve">Call for Concern implemented across the Trust </w:t>
            </w:r>
          </w:p>
          <w:p w14:paraId="11997C21" w14:textId="77777777" w:rsidR="00CC7CBD" w:rsidRDefault="00CC7CBD" w:rsidP="00C633A0">
            <w:pPr>
              <w:pStyle w:val="ListParagraph"/>
            </w:pPr>
          </w:p>
          <w:p w14:paraId="7D44F4A1" w14:textId="0C1F9C4B" w:rsidR="00D174B9" w:rsidRPr="007F31B1" w:rsidRDefault="0061696E" w:rsidP="00C633A0">
            <w:pPr>
              <w:pStyle w:val="ListParagraph"/>
              <w:numPr>
                <w:ilvl w:val="0"/>
                <w:numId w:val="12"/>
              </w:numPr>
            </w:pPr>
            <w:r>
              <w:t>Translation and Interpretation policy renewed and refreshed</w:t>
            </w:r>
          </w:p>
        </w:tc>
        <w:tc>
          <w:tcPr>
            <w:tcW w:w="4629" w:type="dxa"/>
          </w:tcPr>
          <w:p w14:paraId="194C0BAA" w14:textId="77777777" w:rsidR="00D174B9" w:rsidRDefault="00D174B9" w:rsidP="00D174B9"/>
          <w:p w14:paraId="695B1F53" w14:textId="77777777" w:rsidR="00CC7CBD" w:rsidRDefault="00CC7CBD" w:rsidP="00CC7CBD">
            <w:r w:rsidRPr="00CC7CBD">
              <w:rPr>
                <w:b/>
                <w:bCs/>
              </w:rPr>
              <w:t>Outcome 1A</w:t>
            </w:r>
            <w:r>
              <w:t xml:space="preserve"> – Patient Safety</w:t>
            </w:r>
          </w:p>
          <w:p w14:paraId="2AFD08A5" w14:textId="31E99738" w:rsidR="00CC7CBD" w:rsidRDefault="00CC7CBD" w:rsidP="00CC7CBD">
            <w:r>
              <w:t xml:space="preserve"> </w:t>
            </w:r>
          </w:p>
          <w:p w14:paraId="705AB30C" w14:textId="48417496" w:rsidR="00D174B9" w:rsidRDefault="00CC7CBD" w:rsidP="00CC7CBD">
            <w:r w:rsidRPr="00CC7CBD">
              <w:rPr>
                <w:b/>
                <w:bCs/>
              </w:rPr>
              <w:t>Outcome 1A and 1D</w:t>
            </w:r>
            <w:r>
              <w:t xml:space="preserve"> – Complaints</w:t>
            </w:r>
          </w:p>
          <w:p w14:paraId="5969C3CA" w14:textId="77777777" w:rsidR="00D174B9" w:rsidRPr="007F31B1" w:rsidRDefault="00D174B9" w:rsidP="00B60F97">
            <w:pPr>
              <w:rPr>
                <w:rFonts w:cs="Arial"/>
                <w:b/>
                <w:bCs/>
              </w:rPr>
            </w:pPr>
          </w:p>
        </w:tc>
      </w:tr>
      <w:tr w:rsidR="0061696E" w:rsidRPr="009D1CC6" w14:paraId="11A55DE9" w14:textId="77777777" w:rsidTr="006734F1">
        <w:trPr>
          <w:trHeight w:val="397"/>
        </w:trPr>
        <w:tc>
          <w:tcPr>
            <w:tcW w:w="8967" w:type="dxa"/>
          </w:tcPr>
          <w:p w14:paraId="65DCEE72" w14:textId="58DD7ADF" w:rsidR="00CC7CBD" w:rsidRDefault="00CC7CBD" w:rsidP="00C633A0">
            <w:pPr>
              <w:pStyle w:val="ListParagraph"/>
              <w:numPr>
                <w:ilvl w:val="0"/>
                <w:numId w:val="12"/>
              </w:numPr>
            </w:pPr>
            <w:r>
              <w:t>Weekly monitoring of complaints and concerns both at divisional level and   executive level. Quarterly report to Quality and safety Committee</w:t>
            </w:r>
          </w:p>
          <w:p w14:paraId="105499EB" w14:textId="77777777" w:rsidR="00CC7CBD" w:rsidRDefault="00CC7CBD" w:rsidP="00C633A0">
            <w:pPr>
              <w:pStyle w:val="ListParagraph"/>
            </w:pPr>
          </w:p>
          <w:p w14:paraId="222774EA" w14:textId="5B7CF83C" w:rsidR="0061696E" w:rsidRDefault="00CC7CBD" w:rsidP="00C633A0">
            <w:pPr>
              <w:numPr>
                <w:ilvl w:val="0"/>
                <w:numId w:val="12"/>
              </w:numPr>
            </w:pPr>
            <w:r>
              <w:t>Triangulation of complaints, concerns and patient safety incidents presented at monthly Safety Surveillance meeting</w:t>
            </w:r>
          </w:p>
        </w:tc>
        <w:tc>
          <w:tcPr>
            <w:tcW w:w="4629" w:type="dxa"/>
          </w:tcPr>
          <w:p w14:paraId="74D8D228" w14:textId="2181BBE3" w:rsidR="00CC7CBD" w:rsidRDefault="00CC7CBD" w:rsidP="00CC7CBD">
            <w:r w:rsidRPr="00CC7CBD">
              <w:rPr>
                <w:b/>
                <w:bCs/>
              </w:rPr>
              <w:t>Outcome 1</w:t>
            </w:r>
            <w:r>
              <w:rPr>
                <w:b/>
                <w:bCs/>
              </w:rPr>
              <w:t>B</w:t>
            </w:r>
            <w:r>
              <w:t xml:space="preserve"> – Complaints</w:t>
            </w:r>
          </w:p>
          <w:p w14:paraId="10126C9D" w14:textId="77777777" w:rsidR="00CC7CBD" w:rsidRDefault="00CC7CBD" w:rsidP="00CC7CBD"/>
          <w:p w14:paraId="6F27D01E" w14:textId="77777777" w:rsidR="00CC7CBD" w:rsidRDefault="00CC7CBD" w:rsidP="00CC7CBD"/>
          <w:p w14:paraId="5EBCF239" w14:textId="08F0E3B7" w:rsidR="0061696E" w:rsidRDefault="00CC7CBD" w:rsidP="00CC7CBD">
            <w:r w:rsidRPr="00CC7CBD">
              <w:rPr>
                <w:b/>
                <w:bCs/>
              </w:rPr>
              <w:t>Outcome 1</w:t>
            </w:r>
            <w:r>
              <w:rPr>
                <w:b/>
                <w:bCs/>
              </w:rPr>
              <w:t>B</w:t>
            </w:r>
            <w:r>
              <w:t xml:space="preserve"> – Patient Safety</w:t>
            </w:r>
          </w:p>
        </w:tc>
      </w:tr>
      <w:tr w:rsidR="00CC7CBD" w:rsidRPr="009D1CC6" w14:paraId="1F8886CE" w14:textId="77777777" w:rsidTr="006734F1">
        <w:trPr>
          <w:trHeight w:val="397"/>
        </w:trPr>
        <w:tc>
          <w:tcPr>
            <w:tcW w:w="8967" w:type="dxa"/>
          </w:tcPr>
          <w:p w14:paraId="00426353" w14:textId="11FF0AEC" w:rsidR="00CC7CBD" w:rsidRPr="00CC7CBD" w:rsidRDefault="00CC7CBD" w:rsidP="00C633A0">
            <w:pPr>
              <w:pStyle w:val="ListParagraph"/>
              <w:numPr>
                <w:ilvl w:val="0"/>
                <w:numId w:val="12"/>
              </w:numPr>
            </w:pPr>
            <w:r w:rsidRPr="00CC7CBD">
              <w:t>Oliver McGowan training plan, compliance improvements, monitoring</w:t>
            </w:r>
            <w:r>
              <w:t xml:space="preserve"> </w:t>
            </w:r>
            <w:r w:rsidRPr="00CC7CBD">
              <w:t xml:space="preserve">and governance </w:t>
            </w:r>
          </w:p>
          <w:p w14:paraId="22FA7E81" w14:textId="77777777" w:rsidR="00CC7CBD" w:rsidRDefault="00CC7CBD" w:rsidP="00C633A0">
            <w:pPr>
              <w:ind w:left="720"/>
              <w:jc w:val="both"/>
            </w:pPr>
          </w:p>
        </w:tc>
        <w:tc>
          <w:tcPr>
            <w:tcW w:w="4629" w:type="dxa"/>
          </w:tcPr>
          <w:p w14:paraId="7ED3D468" w14:textId="50094F0B" w:rsidR="00CC7CBD" w:rsidRPr="00CC7CBD" w:rsidRDefault="00CC7CBD" w:rsidP="00CC7CBD">
            <w:pPr>
              <w:rPr>
                <w:b/>
                <w:bCs/>
              </w:rPr>
            </w:pPr>
            <w:r w:rsidRPr="00CC7CBD">
              <w:rPr>
                <w:b/>
                <w:bCs/>
              </w:rPr>
              <w:t>Outcome 1</w:t>
            </w:r>
            <w:r>
              <w:rPr>
                <w:b/>
                <w:bCs/>
              </w:rPr>
              <w:t>C</w:t>
            </w:r>
            <w:r w:rsidRPr="00CC7CBD">
              <w:rPr>
                <w:b/>
                <w:bCs/>
              </w:rPr>
              <w:t xml:space="preserve"> – Patient Safety</w:t>
            </w:r>
          </w:p>
        </w:tc>
      </w:tr>
      <w:tr w:rsidR="00CC7CBD" w:rsidRPr="009D1CC6" w14:paraId="136FB033" w14:textId="77777777" w:rsidTr="006734F1">
        <w:trPr>
          <w:trHeight w:val="397"/>
        </w:trPr>
        <w:tc>
          <w:tcPr>
            <w:tcW w:w="8967" w:type="dxa"/>
          </w:tcPr>
          <w:p w14:paraId="2A7D752B" w14:textId="39DC578D" w:rsidR="00CC7CBD" w:rsidRDefault="00CC7CBD" w:rsidP="00C633A0">
            <w:pPr>
              <w:pStyle w:val="ListParagraph"/>
              <w:numPr>
                <w:ilvl w:val="0"/>
                <w:numId w:val="12"/>
              </w:numPr>
            </w:pPr>
            <w:r w:rsidRPr="00CC7CBD">
              <w:t>Continued Improvements in PLACE participant inclusion</w:t>
            </w:r>
          </w:p>
        </w:tc>
        <w:tc>
          <w:tcPr>
            <w:tcW w:w="4629" w:type="dxa"/>
          </w:tcPr>
          <w:p w14:paraId="2A04C113" w14:textId="0E7D6578" w:rsidR="00CC7CBD" w:rsidRPr="00CC7CBD" w:rsidRDefault="00CC7CBD" w:rsidP="00CC7CBD">
            <w:pPr>
              <w:rPr>
                <w:b/>
                <w:bCs/>
              </w:rPr>
            </w:pPr>
            <w:r w:rsidRPr="00CC7CBD">
              <w:rPr>
                <w:b/>
                <w:bCs/>
              </w:rPr>
              <w:t>Outcome 1</w:t>
            </w:r>
            <w:r>
              <w:rPr>
                <w:b/>
                <w:bCs/>
              </w:rPr>
              <w:t>D</w:t>
            </w:r>
            <w:r w:rsidRPr="00CC7CBD">
              <w:rPr>
                <w:b/>
                <w:bCs/>
              </w:rPr>
              <w:t xml:space="preserve"> – Patient Safety</w:t>
            </w:r>
          </w:p>
        </w:tc>
      </w:tr>
      <w:tr w:rsidR="00BB480F" w:rsidRPr="009D1CC6" w14:paraId="7EA97CC4" w14:textId="77777777" w:rsidTr="006734F1">
        <w:trPr>
          <w:trHeight w:val="397"/>
        </w:trPr>
        <w:tc>
          <w:tcPr>
            <w:tcW w:w="8967" w:type="dxa"/>
          </w:tcPr>
          <w:p w14:paraId="43634E79" w14:textId="77777777" w:rsidR="00792B97" w:rsidRPr="007F31B1" w:rsidRDefault="00792B97" w:rsidP="007F31B1"/>
          <w:p w14:paraId="35308279" w14:textId="4B17351D" w:rsidR="00BB480F" w:rsidRPr="007F31B1" w:rsidRDefault="00B60F97" w:rsidP="00210242">
            <w:pPr>
              <w:pStyle w:val="ListParagraph"/>
              <w:numPr>
                <w:ilvl w:val="0"/>
                <w:numId w:val="12"/>
              </w:numPr>
            </w:pPr>
            <w:r>
              <w:t>To integrate an Equality, Diversity and Inclusion (EDI) calendar into the annual wellbeing calendar, raising awareness of EDI and the support available to staff with protected characteristics across the Trust.</w:t>
            </w:r>
          </w:p>
          <w:p w14:paraId="007F82CE" w14:textId="77777777" w:rsidR="007F31B1" w:rsidRPr="007F31B1" w:rsidRDefault="007F31B1" w:rsidP="007F31B1">
            <w:pPr>
              <w:pStyle w:val="ListParagraph"/>
            </w:pPr>
          </w:p>
          <w:p w14:paraId="119D0735" w14:textId="332FEC80" w:rsidR="00792B97" w:rsidRPr="007F31B1" w:rsidRDefault="00792B97" w:rsidP="00210242">
            <w:pPr>
              <w:pStyle w:val="ListParagraph"/>
              <w:numPr>
                <w:ilvl w:val="0"/>
                <w:numId w:val="12"/>
              </w:numPr>
            </w:pPr>
            <w:r w:rsidRPr="007F31B1">
              <w:t>Raise awareness of the EDI/Wellbeing calendar of events and support through the staff networks</w:t>
            </w:r>
          </w:p>
        </w:tc>
        <w:tc>
          <w:tcPr>
            <w:tcW w:w="4629" w:type="dxa"/>
          </w:tcPr>
          <w:p w14:paraId="77CFEFF5" w14:textId="77777777" w:rsidR="007F31B1" w:rsidRPr="007F31B1" w:rsidRDefault="007F31B1" w:rsidP="00B60F97">
            <w:pPr>
              <w:rPr>
                <w:rFonts w:cs="Arial"/>
                <w:b/>
                <w:bCs/>
              </w:rPr>
            </w:pPr>
            <w:r w:rsidRPr="007F31B1">
              <w:rPr>
                <w:rFonts w:cs="Arial"/>
                <w:b/>
                <w:bCs/>
              </w:rPr>
              <w:t>Outcome 2A</w:t>
            </w:r>
          </w:p>
          <w:p w14:paraId="502A37BF" w14:textId="7361FA6E" w:rsidR="00BB480F" w:rsidRPr="007F31B1" w:rsidRDefault="007F31B1" w:rsidP="00B60F97">
            <w:pPr>
              <w:rPr>
                <w:rFonts w:cs="Arial"/>
              </w:rPr>
            </w:pPr>
            <w:r w:rsidRPr="007F31B1">
              <w:rPr>
                <w:rFonts w:cs="Arial"/>
                <w:b/>
                <w:bCs/>
              </w:rPr>
              <w:t>Objective</w:t>
            </w:r>
            <w:r w:rsidRPr="007F31B1">
              <w:rPr>
                <w:rFonts w:cs="Arial"/>
              </w:rPr>
              <w:t xml:space="preserve"> - Improve the health and wellbeing of staff understanding specific needs and what support to offer. </w:t>
            </w:r>
          </w:p>
        </w:tc>
      </w:tr>
      <w:tr w:rsidR="00BB480F" w:rsidRPr="009D1CC6" w14:paraId="2E1387DA" w14:textId="77777777" w:rsidTr="006734F1">
        <w:trPr>
          <w:trHeight w:val="397"/>
        </w:trPr>
        <w:tc>
          <w:tcPr>
            <w:tcW w:w="8967" w:type="dxa"/>
          </w:tcPr>
          <w:p w14:paraId="55DEA24F" w14:textId="77777777" w:rsidR="00792B97" w:rsidRDefault="00792B97" w:rsidP="007F31B1">
            <w:pPr>
              <w:pStyle w:val="ListParagraph"/>
            </w:pPr>
          </w:p>
          <w:p w14:paraId="3535DA11" w14:textId="77777777" w:rsidR="00BB480F" w:rsidRPr="007F31B1" w:rsidRDefault="00B60F97" w:rsidP="00210242">
            <w:pPr>
              <w:pStyle w:val="ListParagraph"/>
              <w:numPr>
                <w:ilvl w:val="0"/>
                <w:numId w:val="12"/>
              </w:numPr>
            </w:pPr>
            <w:r>
              <w:lastRenderedPageBreak/>
              <w:t>To identify trends and problem areas in Datix incident reports involving staff members with protected characteristics, and to raise awareness among leadership teams while taking meaningful action.</w:t>
            </w:r>
          </w:p>
          <w:p w14:paraId="2BBAE8C2" w14:textId="77777777" w:rsidR="007F31B1" w:rsidRPr="007F31B1" w:rsidRDefault="007F31B1" w:rsidP="007F31B1">
            <w:pPr>
              <w:pStyle w:val="ListParagraph"/>
            </w:pPr>
          </w:p>
          <w:p w14:paraId="47245800" w14:textId="4A5525D1" w:rsidR="007F31B1" w:rsidRPr="007F31B1" w:rsidRDefault="007F31B1" w:rsidP="00210242">
            <w:pPr>
              <w:pStyle w:val="ListParagraph"/>
              <w:numPr>
                <w:ilvl w:val="0"/>
                <w:numId w:val="12"/>
              </w:numPr>
            </w:pPr>
            <w:r w:rsidRPr="007F31B1">
              <w:t>To reinforce the Trust’s commitment to zero tolerance of abuse and poor behaviour by sharing real staff experiences, raising awareness, and embedding accountability across the organisation.</w:t>
            </w:r>
          </w:p>
        </w:tc>
        <w:tc>
          <w:tcPr>
            <w:tcW w:w="4629" w:type="dxa"/>
          </w:tcPr>
          <w:p w14:paraId="1C088719" w14:textId="77777777" w:rsidR="00BB480F" w:rsidRPr="007F31B1" w:rsidRDefault="007F31B1" w:rsidP="00B60F97">
            <w:pPr>
              <w:rPr>
                <w:rFonts w:cs="Arial"/>
                <w:b/>
                <w:bCs/>
              </w:rPr>
            </w:pPr>
            <w:r w:rsidRPr="007F31B1">
              <w:rPr>
                <w:rFonts w:cs="Arial"/>
                <w:b/>
                <w:bCs/>
              </w:rPr>
              <w:lastRenderedPageBreak/>
              <w:t>Outcome 2B</w:t>
            </w:r>
          </w:p>
          <w:p w14:paraId="5850C7F3" w14:textId="4A7DF4FF" w:rsidR="007F31B1" w:rsidRPr="007F31B1" w:rsidRDefault="007F31B1" w:rsidP="00B60F97">
            <w:pPr>
              <w:rPr>
                <w:rFonts w:cs="Arial"/>
              </w:rPr>
            </w:pPr>
            <w:r w:rsidRPr="007F31B1">
              <w:rPr>
                <w:rFonts w:cs="Arial"/>
                <w:b/>
                <w:bCs/>
              </w:rPr>
              <w:lastRenderedPageBreak/>
              <w:t>Objective</w:t>
            </w:r>
            <w:r w:rsidRPr="007F31B1">
              <w:rPr>
                <w:rFonts w:cs="Arial"/>
              </w:rPr>
              <w:t xml:space="preserve"> – Use resources available to analyse and understand where actions are not followed through to improve training and development for Trust leaders</w:t>
            </w:r>
          </w:p>
        </w:tc>
      </w:tr>
      <w:tr w:rsidR="00BB480F" w:rsidRPr="009D1CC6" w14:paraId="2FBD9332" w14:textId="77777777" w:rsidTr="006734F1">
        <w:trPr>
          <w:trHeight w:val="397"/>
        </w:trPr>
        <w:tc>
          <w:tcPr>
            <w:tcW w:w="8967" w:type="dxa"/>
          </w:tcPr>
          <w:p w14:paraId="5CF4CCD0" w14:textId="77777777" w:rsidR="006734F1" w:rsidRPr="007F31B1" w:rsidRDefault="006734F1" w:rsidP="007F31B1">
            <w:pPr>
              <w:pStyle w:val="ListParagraph"/>
            </w:pPr>
          </w:p>
          <w:p w14:paraId="1A69ED3A" w14:textId="77777777" w:rsidR="006734F1" w:rsidRDefault="006734F1" w:rsidP="00210242">
            <w:pPr>
              <w:pStyle w:val="ListParagraph"/>
              <w:numPr>
                <w:ilvl w:val="0"/>
                <w:numId w:val="12"/>
              </w:numPr>
            </w:pPr>
            <w:r w:rsidRPr="006734F1">
              <w:t xml:space="preserve">Improve opportunities for staff engagement for individuals who share a protected </w:t>
            </w:r>
            <w:proofErr w:type="spellStart"/>
            <w:r w:rsidRPr="006734F1">
              <w:t>charachteristic</w:t>
            </w:r>
            <w:proofErr w:type="spellEnd"/>
            <w:r w:rsidRPr="006734F1">
              <w:t xml:space="preserve"> and increase engagement of Staff Networks as a trusted source</w:t>
            </w:r>
          </w:p>
          <w:p w14:paraId="3D778301" w14:textId="77777777" w:rsidR="007F31B1" w:rsidRPr="006734F1" w:rsidRDefault="007F31B1" w:rsidP="007F31B1">
            <w:pPr>
              <w:pStyle w:val="ListParagraph"/>
            </w:pPr>
          </w:p>
          <w:p w14:paraId="5CAF9D65" w14:textId="1383A2B2" w:rsidR="006734F1" w:rsidRPr="007F31B1" w:rsidRDefault="006734F1" w:rsidP="00210242">
            <w:pPr>
              <w:pStyle w:val="ListParagraph"/>
              <w:numPr>
                <w:ilvl w:val="0"/>
                <w:numId w:val="12"/>
              </w:numPr>
            </w:pPr>
            <w:r w:rsidRPr="006734F1">
              <w:t>Promote cross network collaboration with events and awareness sessions to improve inclusion.</w:t>
            </w:r>
            <w:r w:rsidRPr="007F31B1">
              <w:t xml:space="preserve"> </w:t>
            </w:r>
          </w:p>
        </w:tc>
        <w:tc>
          <w:tcPr>
            <w:tcW w:w="4629" w:type="dxa"/>
          </w:tcPr>
          <w:p w14:paraId="5148290D" w14:textId="77777777" w:rsidR="00BB480F" w:rsidRPr="007F31B1" w:rsidRDefault="007F31B1" w:rsidP="006B2129">
            <w:pPr>
              <w:rPr>
                <w:rFonts w:cs="Arial"/>
                <w:b/>
                <w:bCs/>
              </w:rPr>
            </w:pPr>
            <w:r w:rsidRPr="007F31B1">
              <w:rPr>
                <w:rFonts w:cs="Arial"/>
                <w:b/>
                <w:bCs/>
              </w:rPr>
              <w:t>Outcome 2C</w:t>
            </w:r>
          </w:p>
          <w:p w14:paraId="583621DA" w14:textId="01B9BBA2" w:rsidR="007F31B1" w:rsidRPr="009D1CC6" w:rsidRDefault="007F31B1" w:rsidP="006B2129">
            <w:pPr>
              <w:rPr>
                <w:rFonts w:cs="Arial"/>
              </w:rPr>
            </w:pPr>
            <w:r w:rsidRPr="007F31B1">
              <w:rPr>
                <w:rFonts w:cs="Arial"/>
                <w:b/>
                <w:bCs/>
              </w:rPr>
              <w:t>Objective</w:t>
            </w:r>
            <w:r>
              <w:rPr>
                <w:rFonts w:cs="Arial"/>
              </w:rPr>
              <w:t xml:space="preserve"> – Improve staff awareness of trusted service available to offer support and advice when suffering from stress, abuse, bullying, harassment and physical violence from any source. </w:t>
            </w:r>
          </w:p>
        </w:tc>
      </w:tr>
      <w:tr w:rsidR="006734F1" w:rsidRPr="009D1CC6" w14:paraId="421A340E" w14:textId="77777777" w:rsidTr="006734F1">
        <w:trPr>
          <w:trHeight w:val="397"/>
        </w:trPr>
        <w:tc>
          <w:tcPr>
            <w:tcW w:w="8967" w:type="dxa"/>
          </w:tcPr>
          <w:p w14:paraId="1691D2BB" w14:textId="77777777" w:rsidR="006734F1" w:rsidRDefault="006734F1" w:rsidP="007F31B1">
            <w:pPr>
              <w:pStyle w:val="ListParagraph"/>
            </w:pPr>
          </w:p>
          <w:p w14:paraId="72A86AE1" w14:textId="77777777" w:rsidR="006734F1" w:rsidRPr="007F31B1" w:rsidRDefault="006734F1" w:rsidP="00210242">
            <w:pPr>
              <w:pStyle w:val="ListParagraph"/>
              <w:numPr>
                <w:ilvl w:val="0"/>
                <w:numId w:val="12"/>
              </w:numPr>
            </w:pPr>
            <w:r>
              <w:t xml:space="preserve">Celebrate achievements of individuals and teams who go above and beyond by introducing a monthly patient choice award. </w:t>
            </w:r>
          </w:p>
          <w:p w14:paraId="336CB9B9" w14:textId="77777777" w:rsidR="007F31B1" w:rsidRPr="007F31B1" w:rsidRDefault="007F31B1" w:rsidP="007F31B1">
            <w:pPr>
              <w:pStyle w:val="ListParagraph"/>
            </w:pPr>
          </w:p>
          <w:p w14:paraId="1AA7D03F" w14:textId="2D48F0FA" w:rsidR="006734F1" w:rsidRPr="007F31B1" w:rsidRDefault="006734F1" w:rsidP="00210242">
            <w:pPr>
              <w:pStyle w:val="ListParagraph"/>
              <w:numPr>
                <w:ilvl w:val="0"/>
                <w:numId w:val="12"/>
              </w:numPr>
            </w:pPr>
            <w:r>
              <w:t>Introduce other staff networks to further creating a sense of belonging and inclusion such as Veterans</w:t>
            </w:r>
          </w:p>
        </w:tc>
        <w:tc>
          <w:tcPr>
            <w:tcW w:w="4629" w:type="dxa"/>
          </w:tcPr>
          <w:p w14:paraId="1C598A42" w14:textId="77777777" w:rsidR="006734F1" w:rsidRPr="007F31B1" w:rsidRDefault="007F31B1" w:rsidP="007F31B1">
            <w:pPr>
              <w:rPr>
                <w:rFonts w:cs="Arial"/>
                <w:b/>
                <w:bCs/>
              </w:rPr>
            </w:pPr>
            <w:r w:rsidRPr="007F31B1">
              <w:rPr>
                <w:rFonts w:cs="Arial"/>
                <w:b/>
                <w:bCs/>
              </w:rPr>
              <w:t>Outcome 2D</w:t>
            </w:r>
          </w:p>
          <w:p w14:paraId="32ECD0FC" w14:textId="6CCCD24E" w:rsidR="007F31B1" w:rsidRPr="007F31B1" w:rsidRDefault="007F31B1" w:rsidP="007F31B1">
            <w:pPr>
              <w:rPr>
                <w:rFonts w:cs="Arial"/>
              </w:rPr>
            </w:pPr>
            <w:r w:rsidRPr="007F31B1">
              <w:rPr>
                <w:rFonts w:cs="Arial"/>
                <w:b/>
                <w:bCs/>
              </w:rPr>
              <w:t>Objective</w:t>
            </w:r>
            <w:r w:rsidRPr="007F31B1">
              <w:rPr>
                <w:rFonts w:cs="Arial"/>
              </w:rPr>
              <w:t xml:space="preserve"> – Improve staff experience and engagement including the overall Trust rating across the Staff Survey</w:t>
            </w:r>
          </w:p>
        </w:tc>
      </w:tr>
      <w:tr w:rsidR="00BB480F" w:rsidRPr="009D1CC6" w14:paraId="5F268C35" w14:textId="77777777" w:rsidTr="006734F1">
        <w:trPr>
          <w:trHeight w:val="397"/>
        </w:trPr>
        <w:tc>
          <w:tcPr>
            <w:tcW w:w="8967" w:type="dxa"/>
          </w:tcPr>
          <w:p w14:paraId="4BC1B8FD" w14:textId="77777777" w:rsidR="006734F1" w:rsidRPr="007F31B1" w:rsidRDefault="006734F1" w:rsidP="007F31B1">
            <w:pPr>
              <w:pStyle w:val="ListParagraph"/>
            </w:pPr>
          </w:p>
          <w:p w14:paraId="0FE99B25" w14:textId="6B309387" w:rsidR="00DB0A66" w:rsidRPr="007F31B1" w:rsidRDefault="00DB0A66" w:rsidP="00210242">
            <w:pPr>
              <w:pStyle w:val="ListParagraph"/>
              <w:numPr>
                <w:ilvl w:val="0"/>
                <w:numId w:val="12"/>
              </w:numPr>
            </w:pPr>
            <w:r w:rsidRPr="007F31B1">
              <w:t>Development of specific and measurable EDI objectives by all Trust Board members for 25/26, to include a specific objective on developing and embedding anti-racist framework and practice consistently.</w:t>
            </w:r>
          </w:p>
          <w:p w14:paraId="16C4A754" w14:textId="77777777" w:rsidR="00BB480F" w:rsidRPr="007F31B1" w:rsidRDefault="00BB480F" w:rsidP="007F31B1">
            <w:pPr>
              <w:pStyle w:val="ListParagraph"/>
            </w:pPr>
          </w:p>
        </w:tc>
        <w:tc>
          <w:tcPr>
            <w:tcW w:w="4629" w:type="dxa"/>
          </w:tcPr>
          <w:p w14:paraId="50112AE9" w14:textId="77777777" w:rsidR="00BB480F" w:rsidRPr="007F31B1" w:rsidRDefault="007F31B1" w:rsidP="007F31B1">
            <w:pPr>
              <w:rPr>
                <w:rFonts w:cs="Arial"/>
                <w:b/>
                <w:bCs/>
              </w:rPr>
            </w:pPr>
            <w:r w:rsidRPr="007F31B1">
              <w:rPr>
                <w:rFonts w:cs="Arial"/>
                <w:b/>
                <w:bCs/>
              </w:rPr>
              <w:t>Outcome 3A</w:t>
            </w:r>
          </w:p>
          <w:p w14:paraId="115403E8" w14:textId="405873AE" w:rsidR="007F31B1" w:rsidRPr="007F31B1" w:rsidRDefault="007F31B1" w:rsidP="007F31B1">
            <w:pPr>
              <w:rPr>
                <w:rFonts w:cs="Arial"/>
              </w:rPr>
            </w:pPr>
            <w:r w:rsidRPr="007F31B1">
              <w:rPr>
                <w:rFonts w:cs="Arial"/>
                <w:b/>
                <w:bCs/>
              </w:rPr>
              <w:t>Objective</w:t>
            </w:r>
            <w:r>
              <w:rPr>
                <w:rFonts w:cs="Arial"/>
              </w:rPr>
              <w:t xml:space="preserve"> – Strengthen leadership accountability across equality and health inequality</w:t>
            </w:r>
          </w:p>
        </w:tc>
      </w:tr>
      <w:tr w:rsidR="00BB480F" w:rsidRPr="009D1CC6" w14:paraId="2338EE7F" w14:textId="77777777" w:rsidTr="006734F1">
        <w:trPr>
          <w:trHeight w:val="397"/>
        </w:trPr>
        <w:tc>
          <w:tcPr>
            <w:tcW w:w="8967" w:type="dxa"/>
          </w:tcPr>
          <w:p w14:paraId="618CB177" w14:textId="77777777" w:rsidR="006734F1" w:rsidRPr="007F31B1" w:rsidRDefault="006734F1" w:rsidP="007F31B1">
            <w:pPr>
              <w:pStyle w:val="ListParagraph"/>
            </w:pPr>
          </w:p>
          <w:p w14:paraId="64DDBE8B" w14:textId="1D26B60B" w:rsidR="006734F1" w:rsidRPr="007F31B1" w:rsidRDefault="006734F1" w:rsidP="00210242">
            <w:pPr>
              <w:pStyle w:val="ListParagraph"/>
              <w:numPr>
                <w:ilvl w:val="0"/>
                <w:numId w:val="12"/>
              </w:numPr>
            </w:pPr>
            <w:r>
              <w:t>Review current board/committee templates to assure that equality and health inequality related impacts and risks are appropriately identified</w:t>
            </w:r>
          </w:p>
        </w:tc>
        <w:tc>
          <w:tcPr>
            <w:tcW w:w="4629" w:type="dxa"/>
          </w:tcPr>
          <w:p w14:paraId="1A0FC31A" w14:textId="77777777" w:rsidR="00BB480F" w:rsidRPr="007F31B1" w:rsidRDefault="007F31B1" w:rsidP="006B2129">
            <w:pPr>
              <w:rPr>
                <w:rFonts w:cs="Arial"/>
                <w:b/>
                <w:bCs/>
              </w:rPr>
            </w:pPr>
            <w:r w:rsidRPr="007F31B1">
              <w:rPr>
                <w:rFonts w:cs="Arial"/>
                <w:b/>
                <w:bCs/>
              </w:rPr>
              <w:t>Outcome 3B</w:t>
            </w:r>
          </w:p>
          <w:p w14:paraId="29E3CCEA" w14:textId="07A33C8F" w:rsidR="007F31B1" w:rsidRPr="009D1CC6" w:rsidRDefault="007F31B1" w:rsidP="006B2129">
            <w:pPr>
              <w:rPr>
                <w:rFonts w:cs="Arial"/>
              </w:rPr>
            </w:pPr>
            <w:r w:rsidRPr="007F31B1">
              <w:rPr>
                <w:rFonts w:cs="Arial"/>
                <w:b/>
                <w:bCs/>
              </w:rPr>
              <w:t>Objective</w:t>
            </w:r>
            <w:r>
              <w:rPr>
                <w:rFonts w:cs="Arial"/>
              </w:rPr>
              <w:t xml:space="preserve"> – Improve integration and embedding of equality and health </w:t>
            </w:r>
            <w:r>
              <w:rPr>
                <w:rFonts w:cs="Arial"/>
              </w:rPr>
              <w:lastRenderedPageBreak/>
              <w:t xml:space="preserve">inequality considerations across the core business of the Trust. </w:t>
            </w:r>
          </w:p>
        </w:tc>
      </w:tr>
      <w:tr w:rsidR="006734F1" w:rsidRPr="009D1CC6" w14:paraId="07ED2C6C" w14:textId="77777777" w:rsidTr="006734F1">
        <w:trPr>
          <w:trHeight w:val="397"/>
        </w:trPr>
        <w:tc>
          <w:tcPr>
            <w:tcW w:w="8967" w:type="dxa"/>
          </w:tcPr>
          <w:p w14:paraId="47A08995" w14:textId="77777777" w:rsidR="006734F1" w:rsidRPr="007F31B1" w:rsidRDefault="006734F1" w:rsidP="007F31B1">
            <w:pPr>
              <w:pStyle w:val="ListParagraph"/>
            </w:pPr>
          </w:p>
          <w:p w14:paraId="7188AF95" w14:textId="1F4C7A03" w:rsidR="006734F1" w:rsidRPr="007F31B1" w:rsidRDefault="006734F1" w:rsidP="00210242">
            <w:pPr>
              <w:pStyle w:val="ListParagraph"/>
              <w:numPr>
                <w:ilvl w:val="0"/>
                <w:numId w:val="12"/>
              </w:numPr>
            </w:pPr>
            <w:r>
              <w:t>Strengthen executive sponsor involvement for the staff networks to encouraging engagement.</w:t>
            </w:r>
          </w:p>
          <w:p w14:paraId="1BC75003" w14:textId="6E49A7E0" w:rsidR="006734F1" w:rsidRPr="007F31B1" w:rsidRDefault="006734F1" w:rsidP="007F31B1">
            <w:pPr>
              <w:pStyle w:val="ListParagraph"/>
            </w:pPr>
          </w:p>
        </w:tc>
        <w:tc>
          <w:tcPr>
            <w:tcW w:w="4629" w:type="dxa"/>
          </w:tcPr>
          <w:p w14:paraId="209C9A30" w14:textId="77777777" w:rsidR="006734F1" w:rsidRPr="007F31B1" w:rsidRDefault="007F31B1" w:rsidP="006B2129">
            <w:pPr>
              <w:rPr>
                <w:rFonts w:cs="Arial"/>
                <w:b/>
                <w:bCs/>
              </w:rPr>
            </w:pPr>
            <w:r w:rsidRPr="007F31B1">
              <w:rPr>
                <w:rFonts w:cs="Arial"/>
                <w:b/>
                <w:bCs/>
              </w:rPr>
              <w:t>Outcome 3C</w:t>
            </w:r>
          </w:p>
          <w:p w14:paraId="4855355E" w14:textId="0E586D6C" w:rsidR="007F31B1" w:rsidRPr="009D1CC6" w:rsidRDefault="007F31B1" w:rsidP="006B2129">
            <w:pPr>
              <w:rPr>
                <w:rFonts w:cs="Arial"/>
              </w:rPr>
            </w:pPr>
            <w:r w:rsidRPr="007F31B1">
              <w:rPr>
                <w:rFonts w:cs="Arial"/>
                <w:b/>
                <w:bCs/>
              </w:rPr>
              <w:t>Objective</w:t>
            </w:r>
            <w:r>
              <w:rPr>
                <w:rFonts w:cs="Arial"/>
              </w:rPr>
              <w:t xml:space="preserve"> – Streamline monitoring and reporting mechanisms to address concerns related </w:t>
            </w:r>
            <w:proofErr w:type="gramStart"/>
            <w:r>
              <w:rPr>
                <w:rFonts w:cs="Arial"/>
              </w:rPr>
              <w:t>to, and</w:t>
            </w:r>
            <w:proofErr w:type="gramEnd"/>
            <w:r>
              <w:rPr>
                <w:rFonts w:cs="Arial"/>
              </w:rPr>
              <w:t xml:space="preserve"> improve performance management of equality and health inequalities across the Trust. </w:t>
            </w:r>
          </w:p>
        </w:tc>
      </w:tr>
    </w:tbl>
    <w:p w14:paraId="5A224E89" w14:textId="77777777" w:rsidR="00BB480F" w:rsidRPr="009D1CC6" w:rsidRDefault="00BB480F" w:rsidP="0032702A">
      <w:pPr>
        <w:pStyle w:val="Heading2"/>
      </w:pPr>
      <w:r w:rsidRPr="009D1CC6">
        <w:t xml:space="preserve"> </w:t>
      </w:r>
      <w:r w:rsidRPr="009D1CC6">
        <w:br w:type="page"/>
      </w:r>
      <w:r w:rsidRPr="009D1CC6">
        <w:lastRenderedPageBreak/>
        <w:t xml:space="preserve">EDS Rating and Score Card </w:t>
      </w:r>
    </w:p>
    <w:p w14:paraId="712BB3C9" w14:textId="77777777" w:rsidR="00BB480F" w:rsidRPr="009D1CC6" w:rsidRDefault="00BB480F" w:rsidP="00BB480F">
      <w:pPr>
        <w:rPr>
          <w:rFonts w:cs="Arial"/>
        </w:rPr>
      </w:pP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BB480F" w:rsidRPr="009D1CC6" w14:paraId="19A07B22" w14:textId="77777777" w:rsidTr="0032702A">
        <w:tc>
          <w:tcPr>
            <w:tcW w:w="13598" w:type="dxa"/>
            <w:gridSpan w:val="2"/>
            <w:shd w:val="clear" w:color="auto" w:fill="BDDEFF" w:themeFill="accent1" w:themeFillTint="33"/>
          </w:tcPr>
          <w:p w14:paraId="349D13F1" w14:textId="77777777" w:rsidR="00BB480F" w:rsidRPr="009D1CC6" w:rsidRDefault="00BB480F" w:rsidP="0032702A">
            <w:pPr>
              <w:pStyle w:val="TableText"/>
            </w:pPr>
            <w:r w:rsidRPr="009D1CC6">
              <w:t>Please refer to the Rating and Score Card supporting guidance document before you start to score. The Rating and Score Card supporting guidance document has a full explanation of the new rating procedure, and can assist you and those you are engaging with to ensure rating is done correctly</w:t>
            </w:r>
          </w:p>
          <w:p w14:paraId="0912CA03" w14:textId="77777777" w:rsidR="00BB480F" w:rsidRPr="009D1CC6" w:rsidRDefault="00BB480F" w:rsidP="0032702A">
            <w:pPr>
              <w:pStyle w:val="TableText"/>
            </w:pPr>
          </w:p>
          <w:p w14:paraId="30DC972E" w14:textId="77777777" w:rsidR="00BB480F" w:rsidRPr="009D1CC6" w:rsidRDefault="00BB480F" w:rsidP="0032702A">
            <w:pPr>
              <w:pStyle w:val="TableText"/>
            </w:pPr>
            <w:r w:rsidRPr="009D1CC6">
              <w:t xml:space="preserve">Score each outcome. Add the scores of all outcomes together. This will provide you with your overall score, or your EDS Organisation Rating. Ratings in accordance </w:t>
            </w:r>
            <w:proofErr w:type="gramStart"/>
            <w:r w:rsidRPr="009D1CC6">
              <w:t>to</w:t>
            </w:r>
            <w:proofErr w:type="gramEnd"/>
            <w:r w:rsidRPr="009D1CC6">
              <w:t xml:space="preserve"> scores are below</w:t>
            </w:r>
          </w:p>
        </w:tc>
      </w:tr>
      <w:tr w:rsidR="00BB480F" w:rsidRPr="009D1CC6" w14:paraId="73D145F8" w14:textId="77777777" w:rsidTr="0032702A">
        <w:tc>
          <w:tcPr>
            <w:tcW w:w="13598" w:type="dxa"/>
            <w:gridSpan w:val="2"/>
            <w:tcBorders>
              <w:bottom w:val="single" w:sz="4" w:space="0" w:color="768692" w:themeColor="accent2"/>
            </w:tcBorders>
            <w:shd w:val="clear" w:color="auto" w:fill="0070C0"/>
          </w:tcPr>
          <w:p w14:paraId="3CA07C67" w14:textId="77777777" w:rsidR="00BB480F" w:rsidRPr="009D1CC6" w:rsidRDefault="00BB480F" w:rsidP="00E33027">
            <w:pPr>
              <w:rPr>
                <w:rFonts w:cs="Arial"/>
              </w:rPr>
            </w:pPr>
          </w:p>
        </w:tc>
      </w:tr>
      <w:tr w:rsidR="00BB480F" w:rsidRPr="009D1CC6" w14:paraId="05A4A469"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12605887" w14:textId="5703B6BB" w:rsidR="00BB480F" w:rsidRPr="009D1CC6" w:rsidRDefault="00BB480F" w:rsidP="00DE33E9">
            <w:pPr>
              <w:rPr>
                <w:rFonts w:cs="Arial"/>
              </w:rPr>
            </w:pPr>
            <w:r w:rsidRPr="009D1CC6">
              <w:rPr>
                <w:rFonts w:cs="Arial"/>
                <w:b/>
                <w:color w:val="C00000"/>
              </w:rPr>
              <w:t>Undeveloped activity</w:t>
            </w:r>
            <w:r w:rsidRPr="009D1CC6">
              <w:rPr>
                <w:rFonts w:cs="Arial"/>
              </w:rPr>
              <w:t xml:space="preserve"> – </w:t>
            </w:r>
            <w:r w:rsidRPr="009D1CC6">
              <w:rPr>
                <w:rFonts w:cs="Arial"/>
                <w:b/>
              </w:rPr>
              <w:t>organisations score out of 0</w:t>
            </w:r>
            <w:r w:rsidRPr="009D1CC6">
              <w:rPr>
                <w:rFonts w:cs="Arial"/>
              </w:rPr>
              <w:t xml:space="preserve"> 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8508FAD" w14:textId="73DB1BA4" w:rsidR="00BB480F" w:rsidRPr="009D1CC6" w:rsidRDefault="00BB480F" w:rsidP="00DE33E9">
            <w:pPr>
              <w:rPr>
                <w:rFonts w:cs="Arial"/>
                <w:b/>
                <w:color w:val="7030A0"/>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tc>
      </w:tr>
      <w:tr w:rsidR="0032702A" w:rsidRPr="009D1CC6" w14:paraId="17C066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19F7C0F" w14:textId="03130ABA" w:rsidR="0032702A" w:rsidRPr="009D1CC6" w:rsidRDefault="00DE33E9" w:rsidP="00DE33E9">
            <w:pPr>
              <w:rPr>
                <w:rFonts w:cs="Arial"/>
              </w:rPr>
            </w:pPr>
            <w:r w:rsidRPr="009D1CC6">
              <w:rPr>
                <w:rFonts w:cs="Arial"/>
                <w:b/>
                <w:color w:val="1991C2" w:themeColor="accent4" w:themeShade="BF"/>
              </w:rPr>
              <w:t>Developing activity</w:t>
            </w:r>
            <w:r w:rsidRPr="009D1CC6">
              <w:rPr>
                <w:rFonts w:cs="Arial"/>
              </w:rPr>
              <w:t xml:space="preserve"> – </w:t>
            </w:r>
            <w:r w:rsidRPr="009D1CC6">
              <w:rPr>
                <w:rFonts w:cs="Arial"/>
                <w:b/>
              </w:rPr>
              <w:t xml:space="preserve">organisations score out of 1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E67309A" w14:textId="51196A59" w:rsidR="0032702A" w:rsidRPr="009D1CC6" w:rsidRDefault="00DE33E9" w:rsidP="00DE33E9">
            <w:pPr>
              <w:rPr>
                <w:rFonts w:cs="Arial"/>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tc>
      </w:tr>
      <w:tr w:rsidR="0032702A" w:rsidRPr="009D1CC6" w14:paraId="6917F7B5"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23896C49" w14:textId="5857215A" w:rsidR="0032702A" w:rsidRPr="009D1CC6" w:rsidRDefault="00DE33E9" w:rsidP="00DE33E9">
            <w:pPr>
              <w:rPr>
                <w:rFonts w:cs="Arial"/>
              </w:rPr>
            </w:pPr>
            <w:r w:rsidRPr="009D1CC6">
              <w:rPr>
                <w:rFonts w:cs="Arial"/>
                <w:b/>
                <w:color w:val="00B050"/>
              </w:rPr>
              <w:t>Achieving activity</w:t>
            </w:r>
            <w:r w:rsidRPr="009D1CC6">
              <w:rPr>
                <w:rFonts w:cs="Arial"/>
              </w:rPr>
              <w:t xml:space="preserve"> – </w:t>
            </w:r>
            <w:r w:rsidRPr="009D1CC6">
              <w:rPr>
                <w:rFonts w:cs="Arial"/>
                <w:b/>
              </w:rPr>
              <w:t xml:space="preserve">organisations score out of 2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A0BFDE4" w14:textId="747D9477" w:rsidR="0032702A" w:rsidRPr="009D1CC6" w:rsidRDefault="00DE33E9" w:rsidP="00DE33E9">
            <w:pPr>
              <w:rPr>
                <w:rFonts w:cs="Arial"/>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tc>
      </w:tr>
      <w:tr w:rsidR="0032702A" w:rsidRPr="009D1CC6" w14:paraId="461F07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4FF07431" w14:textId="32007FDB" w:rsidR="0032702A" w:rsidRPr="009D1CC6" w:rsidRDefault="00DE33E9" w:rsidP="00DE33E9">
            <w:pPr>
              <w:rPr>
                <w:rFonts w:cs="Arial"/>
              </w:rPr>
            </w:pPr>
            <w:r w:rsidRPr="009D1CC6">
              <w:rPr>
                <w:rFonts w:cs="Arial"/>
                <w:b/>
                <w:color w:val="7030A0"/>
              </w:rPr>
              <w:t>Excelling activity</w:t>
            </w:r>
            <w:r w:rsidRPr="009D1CC6">
              <w:rPr>
                <w:rFonts w:cs="Arial"/>
              </w:rPr>
              <w:t xml:space="preserve"> – </w:t>
            </w:r>
            <w:r w:rsidRPr="009D1CC6">
              <w:rPr>
                <w:rFonts w:cs="Arial"/>
                <w:b/>
              </w:rPr>
              <w:t xml:space="preserve">organisations score out of 3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56A65530" w14:textId="74F9995F" w:rsidR="0032702A" w:rsidRPr="009D1CC6" w:rsidRDefault="00DE33E9" w:rsidP="00DE33E9">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tc>
      </w:tr>
    </w:tbl>
    <w:p w14:paraId="18440B57" w14:textId="77777777" w:rsidR="00BB480F" w:rsidRPr="009D1CC6" w:rsidRDefault="00BB480F" w:rsidP="00BB480F">
      <w:pPr>
        <w:rPr>
          <w:rFonts w:cs="Arial"/>
        </w:rPr>
      </w:pPr>
      <w:r w:rsidRPr="009D1CC6">
        <w:rPr>
          <w:rFonts w:cs="Arial"/>
        </w:rPr>
        <w:br w:type="page"/>
      </w:r>
    </w:p>
    <w:p w14:paraId="0573CF1E" w14:textId="77777777" w:rsidR="00BB480F" w:rsidRPr="009D1CC6" w:rsidRDefault="00BB480F" w:rsidP="00BB480F">
      <w:pPr>
        <w:rPr>
          <w:rFonts w:cs="Arial"/>
        </w:rPr>
      </w:pPr>
    </w:p>
    <w:tbl>
      <w:tblPr>
        <w:tblStyle w:val="TableGrid"/>
        <w:tblpPr w:leftFromText="180" w:rightFromText="180" w:vertAnchor="page" w:horzAnchor="margin" w:tblpY="2566"/>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19"/>
        <w:gridCol w:w="3792"/>
        <w:gridCol w:w="4971"/>
        <w:gridCol w:w="1248"/>
        <w:gridCol w:w="2466"/>
      </w:tblGrid>
      <w:tr w:rsidR="00BB480F" w:rsidRPr="009D1CC6" w14:paraId="4E711D87" w14:textId="77777777" w:rsidTr="00B856E9">
        <w:tc>
          <w:tcPr>
            <w:tcW w:w="1129" w:type="dxa"/>
            <w:shd w:val="clear" w:color="auto" w:fill="BDDEFF" w:themeFill="accent1" w:themeFillTint="33"/>
          </w:tcPr>
          <w:p w14:paraId="46DD6274" w14:textId="77777777" w:rsidR="00BB480F" w:rsidRPr="009D1CC6" w:rsidRDefault="00BB480F" w:rsidP="00B856E9">
            <w:pPr>
              <w:rPr>
                <w:rFonts w:cs="Arial"/>
                <w:b/>
              </w:rPr>
            </w:pPr>
            <w:r w:rsidRPr="009D1CC6">
              <w:rPr>
                <w:rFonts w:cs="Arial"/>
                <w:b/>
              </w:rPr>
              <w:t>Domain</w:t>
            </w:r>
          </w:p>
        </w:tc>
        <w:tc>
          <w:tcPr>
            <w:tcW w:w="3969" w:type="dxa"/>
            <w:shd w:val="clear" w:color="auto" w:fill="BDDEFF" w:themeFill="accent1" w:themeFillTint="33"/>
          </w:tcPr>
          <w:p w14:paraId="3616CA97" w14:textId="77777777" w:rsidR="00BB480F" w:rsidRPr="009D1CC6" w:rsidRDefault="00BB480F" w:rsidP="00B856E9">
            <w:pPr>
              <w:rPr>
                <w:rFonts w:cs="Arial"/>
                <w:b/>
              </w:rPr>
            </w:pPr>
            <w:r w:rsidRPr="009D1CC6">
              <w:rPr>
                <w:rFonts w:cs="Arial"/>
                <w:b/>
              </w:rPr>
              <w:t>Outcome</w:t>
            </w:r>
          </w:p>
        </w:tc>
        <w:tc>
          <w:tcPr>
            <w:tcW w:w="5103" w:type="dxa"/>
            <w:shd w:val="clear" w:color="auto" w:fill="BDDEFF" w:themeFill="accent1" w:themeFillTint="33"/>
          </w:tcPr>
          <w:p w14:paraId="2366E384" w14:textId="77777777" w:rsidR="00BB480F" w:rsidRPr="009D1CC6" w:rsidRDefault="00BB480F" w:rsidP="00B856E9">
            <w:pPr>
              <w:rPr>
                <w:rFonts w:cs="Arial"/>
                <w:b/>
              </w:rPr>
            </w:pPr>
            <w:r w:rsidRPr="009D1CC6">
              <w:rPr>
                <w:rFonts w:cs="Arial"/>
                <w:b/>
              </w:rPr>
              <w:t xml:space="preserve">Evidence </w:t>
            </w:r>
          </w:p>
        </w:tc>
        <w:tc>
          <w:tcPr>
            <w:tcW w:w="1276" w:type="dxa"/>
            <w:shd w:val="clear" w:color="auto" w:fill="BDDEFF" w:themeFill="accent1" w:themeFillTint="33"/>
          </w:tcPr>
          <w:p w14:paraId="3D32FE91" w14:textId="77777777" w:rsidR="00BB480F" w:rsidRPr="009D1CC6" w:rsidRDefault="00BB480F" w:rsidP="00B856E9">
            <w:pPr>
              <w:rPr>
                <w:rFonts w:cs="Arial"/>
                <w:b/>
              </w:rPr>
            </w:pPr>
            <w:r w:rsidRPr="009D1CC6">
              <w:rPr>
                <w:rFonts w:cs="Arial"/>
                <w:b/>
              </w:rPr>
              <w:t>Rating</w:t>
            </w:r>
          </w:p>
        </w:tc>
        <w:tc>
          <w:tcPr>
            <w:tcW w:w="2471" w:type="dxa"/>
            <w:shd w:val="clear" w:color="auto" w:fill="BDDEFF" w:themeFill="accent1" w:themeFillTint="33"/>
          </w:tcPr>
          <w:p w14:paraId="685CE2AE" w14:textId="77777777" w:rsidR="00BB480F" w:rsidRPr="009D1CC6" w:rsidRDefault="00BB480F" w:rsidP="00B856E9">
            <w:pPr>
              <w:rPr>
                <w:rFonts w:cs="Arial"/>
                <w:b/>
              </w:rPr>
            </w:pPr>
            <w:r w:rsidRPr="009D1CC6">
              <w:rPr>
                <w:rFonts w:cs="Arial"/>
                <w:b/>
              </w:rPr>
              <w:t>Owner (Dept/Lead)</w:t>
            </w:r>
          </w:p>
        </w:tc>
      </w:tr>
      <w:tr w:rsidR="00BB480F" w:rsidRPr="009D1CC6" w14:paraId="2A87D372" w14:textId="77777777" w:rsidTr="00B856E9">
        <w:trPr>
          <w:cantSplit/>
          <w:trHeight w:val="1134"/>
        </w:trPr>
        <w:tc>
          <w:tcPr>
            <w:tcW w:w="1129" w:type="dxa"/>
            <w:vMerge w:val="restart"/>
            <w:shd w:val="clear" w:color="auto" w:fill="BDDEFF" w:themeFill="accent1" w:themeFillTint="33"/>
            <w:textDirection w:val="btLr"/>
            <w:vAlign w:val="center"/>
          </w:tcPr>
          <w:p w14:paraId="6486A898" w14:textId="77777777" w:rsidR="00BB480F" w:rsidRPr="009D1CC6" w:rsidRDefault="00BB480F" w:rsidP="00B856E9">
            <w:pPr>
              <w:jc w:val="center"/>
              <w:rPr>
                <w:rFonts w:cs="Arial"/>
                <w:b/>
                <w:i/>
              </w:rPr>
            </w:pPr>
            <w:r w:rsidRPr="009D1CC6">
              <w:rPr>
                <w:rFonts w:cs="Arial"/>
                <w:b/>
                <w:i/>
              </w:rPr>
              <w:t>Domain 1: Commissioned or provided services</w:t>
            </w:r>
          </w:p>
          <w:p w14:paraId="1CFEC648" w14:textId="77777777" w:rsidR="00BB480F" w:rsidRPr="009D1CC6" w:rsidRDefault="00BB480F" w:rsidP="00B856E9">
            <w:pPr>
              <w:ind w:left="113" w:right="113"/>
              <w:jc w:val="center"/>
              <w:rPr>
                <w:rFonts w:cs="Arial"/>
              </w:rPr>
            </w:pPr>
          </w:p>
        </w:tc>
        <w:tc>
          <w:tcPr>
            <w:tcW w:w="3969" w:type="dxa"/>
            <w:shd w:val="clear" w:color="auto" w:fill="BDDEFF" w:themeFill="accent1" w:themeFillTint="33"/>
            <w:vAlign w:val="center"/>
          </w:tcPr>
          <w:p w14:paraId="750983AE" w14:textId="0CFE3BBE" w:rsidR="00BB480F" w:rsidRPr="009D1CC6" w:rsidRDefault="00BB480F" w:rsidP="00B856E9">
            <w:pPr>
              <w:rPr>
                <w:rFonts w:cs="Arial"/>
                <w:b/>
              </w:rPr>
            </w:pPr>
            <w:r w:rsidRPr="009D1CC6">
              <w:rPr>
                <w:rFonts w:cs="Arial"/>
              </w:rPr>
              <w:t>1A:</w:t>
            </w:r>
            <w:r w:rsidR="009945D8">
              <w:rPr>
                <w:rFonts w:cs="Arial"/>
              </w:rPr>
              <w:t xml:space="preserve"> </w:t>
            </w:r>
            <w:r w:rsidRPr="009D1CC6">
              <w:rPr>
                <w:rFonts w:cs="Arial"/>
                <w:bCs/>
              </w:rPr>
              <w:t>Patients (service users) have required levels of access to the service</w:t>
            </w:r>
          </w:p>
        </w:tc>
        <w:tc>
          <w:tcPr>
            <w:tcW w:w="5103" w:type="dxa"/>
          </w:tcPr>
          <w:p w14:paraId="3D2B2D52"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ED:</w:t>
            </w:r>
          </w:p>
          <w:p w14:paraId="3C7671D7" w14:textId="77777777" w:rsidR="001A1737" w:rsidRDefault="001A1737" w:rsidP="001A1737">
            <w:pPr>
              <w:pStyle w:val="xxmsonormal"/>
              <w:numPr>
                <w:ilvl w:val="0"/>
                <w:numId w:val="18"/>
              </w:numPr>
              <w:shd w:val="clear" w:color="auto" w:fill="FFFFFF"/>
              <w:spacing w:before="0" w:beforeAutospacing="0" w:after="0" w:afterAutospacing="0"/>
              <w:rPr>
                <w:rFonts w:ascii="Aptos" w:hAnsi="Aptos" w:cs="Segoe UI"/>
                <w:color w:val="242424"/>
              </w:rPr>
            </w:pPr>
            <w:r>
              <w:rPr>
                <w:rFonts w:ascii="Aptos" w:hAnsi="Aptos" w:cs="Segoe UI"/>
                <w:color w:val="242424"/>
              </w:rPr>
              <w:t>Redesign of ED front-door processes (ACP streaming, diversion to UTC, SDEC, Pit Stop, ACE).</w:t>
            </w:r>
          </w:p>
          <w:p w14:paraId="26FA10C9" w14:textId="77777777" w:rsidR="001A1737" w:rsidRDefault="001A1737" w:rsidP="001A1737">
            <w:pPr>
              <w:pStyle w:val="xxmsonormal"/>
              <w:numPr>
                <w:ilvl w:val="0"/>
                <w:numId w:val="18"/>
              </w:numPr>
              <w:shd w:val="clear" w:color="auto" w:fill="FFFFFF"/>
              <w:spacing w:before="0" w:beforeAutospacing="0" w:after="0" w:afterAutospacing="0"/>
              <w:rPr>
                <w:rFonts w:ascii="Aptos" w:hAnsi="Aptos" w:cs="Segoe UI"/>
                <w:color w:val="242424"/>
              </w:rPr>
            </w:pPr>
            <w:r>
              <w:rPr>
                <w:rFonts w:ascii="Aptos" w:hAnsi="Aptos" w:cs="Segoe UI"/>
                <w:color w:val="242424"/>
              </w:rPr>
              <w:t>Improved ambulance handover times (from ~110 min to 30–35 min).</w:t>
            </w:r>
          </w:p>
          <w:p w14:paraId="6262B407" w14:textId="77777777" w:rsidR="001A1737" w:rsidRDefault="001A1737" w:rsidP="001A1737">
            <w:pPr>
              <w:pStyle w:val="xxmsonormal"/>
              <w:numPr>
                <w:ilvl w:val="0"/>
                <w:numId w:val="18"/>
              </w:numPr>
              <w:shd w:val="clear" w:color="auto" w:fill="FFFFFF"/>
              <w:spacing w:before="0" w:beforeAutospacing="0" w:after="0" w:afterAutospacing="0"/>
              <w:rPr>
                <w:rFonts w:ascii="Aptos" w:hAnsi="Aptos" w:cs="Segoe UI"/>
                <w:color w:val="242424"/>
              </w:rPr>
            </w:pPr>
            <w:r>
              <w:rPr>
                <w:rFonts w:ascii="Aptos" w:hAnsi="Aptos" w:cs="Segoe UI"/>
                <w:color w:val="242424"/>
              </w:rPr>
              <w:t>SOPs to manage length of stay and reduce corridor care.</w:t>
            </w:r>
            <w:r>
              <w:rPr>
                <w:rFonts w:ascii="Aptos" w:hAnsi="Aptos" w:cs="Segoe UI"/>
                <w:color w:val="242424"/>
              </w:rPr>
              <w:br/>
            </w:r>
            <w:r>
              <w:rPr>
                <w:rFonts w:ascii="Aptos" w:hAnsi="Aptos" w:cs="Segoe UI"/>
                <w:b/>
                <w:bCs/>
                <w:color w:val="242424"/>
              </w:rPr>
              <w:t>Evidence:</w:t>
            </w:r>
            <w:r>
              <w:rPr>
                <w:rFonts w:ascii="Aptos" w:hAnsi="Aptos" w:cs="Segoe UI"/>
                <w:color w:val="242424"/>
              </w:rPr>
              <w:t> Operational metrics, ambulance handover data, ED no longer an outlier, UEC improvement plan.</w:t>
            </w:r>
          </w:p>
          <w:p w14:paraId="7FA1558B"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Maternity &amp; Neonatal Voices:</w:t>
            </w:r>
          </w:p>
          <w:p w14:paraId="6B5BB000" w14:textId="77777777" w:rsidR="001A1737" w:rsidRDefault="001A1737" w:rsidP="001A1737">
            <w:pPr>
              <w:pStyle w:val="xxmsonormal"/>
              <w:numPr>
                <w:ilvl w:val="0"/>
                <w:numId w:val="19"/>
              </w:numPr>
              <w:shd w:val="clear" w:color="auto" w:fill="FFFFFF"/>
              <w:spacing w:before="0" w:beforeAutospacing="0" w:after="0" w:afterAutospacing="0"/>
              <w:rPr>
                <w:rFonts w:ascii="Aptos" w:hAnsi="Aptos" w:cs="Segoe UI"/>
                <w:color w:val="242424"/>
              </w:rPr>
            </w:pPr>
            <w:r>
              <w:rPr>
                <w:rFonts w:ascii="Aptos" w:hAnsi="Aptos" w:cs="Segoe UI"/>
                <w:color w:val="242424"/>
              </w:rPr>
              <w:t>Engagement with vulnerable groups and routine collection of ethnicity and EDI data.</w:t>
            </w:r>
          </w:p>
          <w:p w14:paraId="377BEF9B" w14:textId="77777777" w:rsidR="001A1737" w:rsidRDefault="001A1737" w:rsidP="001A1737">
            <w:pPr>
              <w:pStyle w:val="xxmsonormal"/>
              <w:numPr>
                <w:ilvl w:val="0"/>
                <w:numId w:val="19"/>
              </w:numPr>
              <w:shd w:val="clear" w:color="auto" w:fill="FFFFFF"/>
              <w:spacing w:before="0" w:beforeAutospacing="0" w:after="0" w:afterAutospacing="0"/>
              <w:rPr>
                <w:rFonts w:ascii="Aptos" w:hAnsi="Aptos" w:cs="Segoe UI"/>
                <w:color w:val="242424"/>
              </w:rPr>
            </w:pPr>
            <w:r>
              <w:rPr>
                <w:rFonts w:ascii="Aptos" w:hAnsi="Aptos" w:cs="Segoe UI"/>
                <w:color w:val="242424"/>
              </w:rPr>
              <w:t>Partnership with Cheshire and Merseyside Maternity Voices Network to ensure access and representation.</w:t>
            </w:r>
            <w:r>
              <w:rPr>
                <w:rFonts w:ascii="Aptos" w:hAnsi="Aptos" w:cs="Segoe UI"/>
                <w:color w:val="242424"/>
              </w:rPr>
              <w:br/>
            </w:r>
            <w:r>
              <w:rPr>
                <w:rFonts w:ascii="Aptos" w:hAnsi="Aptos" w:cs="Segoe UI"/>
                <w:b/>
                <w:bCs/>
                <w:color w:val="242424"/>
              </w:rPr>
              <w:t>Evidence:</w:t>
            </w:r>
            <w:r>
              <w:rPr>
                <w:rFonts w:ascii="Aptos" w:hAnsi="Aptos" w:cs="Segoe UI"/>
                <w:color w:val="242424"/>
              </w:rPr>
              <w:t> Dashboard development, engagement events, and inclusion in service improvement planning.</w:t>
            </w:r>
          </w:p>
          <w:p w14:paraId="28A3CDAC"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Nutrition &amp; Hydration:</w:t>
            </w:r>
          </w:p>
          <w:p w14:paraId="2F161A73" w14:textId="77777777" w:rsidR="001A1737" w:rsidRDefault="001A1737" w:rsidP="001A1737">
            <w:pPr>
              <w:pStyle w:val="xxmsonormal"/>
              <w:numPr>
                <w:ilvl w:val="0"/>
                <w:numId w:val="20"/>
              </w:numPr>
              <w:shd w:val="clear" w:color="auto" w:fill="FFFFFF"/>
              <w:spacing w:before="0" w:beforeAutospacing="0" w:after="0" w:afterAutospacing="0"/>
              <w:rPr>
                <w:rFonts w:ascii="Aptos" w:hAnsi="Aptos" w:cs="Segoe UI"/>
                <w:color w:val="242424"/>
              </w:rPr>
            </w:pPr>
            <w:r>
              <w:rPr>
                <w:rFonts w:ascii="Aptos" w:hAnsi="Aptos" w:cs="Segoe UI"/>
                <w:color w:val="242424"/>
              </w:rPr>
              <w:lastRenderedPageBreak/>
              <w:t>Screening all patients for nutrition and hydration risk using MUST within 24 hours.</w:t>
            </w:r>
          </w:p>
          <w:p w14:paraId="7E0174E1" w14:textId="77777777" w:rsidR="001A1737" w:rsidRDefault="001A1737" w:rsidP="001A1737">
            <w:pPr>
              <w:pStyle w:val="xxmsonormal"/>
              <w:numPr>
                <w:ilvl w:val="0"/>
                <w:numId w:val="20"/>
              </w:numPr>
              <w:shd w:val="clear" w:color="auto" w:fill="FFFFFF"/>
              <w:spacing w:before="0" w:beforeAutospacing="0" w:after="0" w:afterAutospacing="0"/>
              <w:rPr>
                <w:rFonts w:ascii="Aptos" w:hAnsi="Aptos" w:cs="Segoe UI"/>
                <w:color w:val="242424"/>
              </w:rPr>
            </w:pPr>
            <w:r>
              <w:rPr>
                <w:rFonts w:ascii="Aptos" w:hAnsi="Aptos" w:cs="Segoe UI"/>
                <w:color w:val="242424"/>
              </w:rPr>
              <w:t>Nutritional Steering Group monitors and improves access to appropriate nutrition support.</w:t>
            </w:r>
            <w:r>
              <w:rPr>
                <w:rFonts w:ascii="Aptos" w:hAnsi="Aptos" w:cs="Segoe UI"/>
                <w:color w:val="242424"/>
              </w:rPr>
              <w:br/>
            </w:r>
            <w:r>
              <w:rPr>
                <w:rFonts w:ascii="Aptos" w:hAnsi="Aptos" w:cs="Segoe UI"/>
                <w:b/>
                <w:bCs/>
                <w:color w:val="242424"/>
              </w:rPr>
              <w:t>Evidence:</w:t>
            </w:r>
            <w:r>
              <w:rPr>
                <w:rFonts w:ascii="Aptos" w:hAnsi="Aptos" w:cs="Segoe UI"/>
                <w:color w:val="242424"/>
              </w:rPr>
              <w:t> Monthly MUST compliance audits (current 75–85%), quarterly reports to Quality Governance Committee.</w:t>
            </w:r>
          </w:p>
          <w:p w14:paraId="090DAE03" w14:textId="77777777" w:rsidR="00BB480F" w:rsidRPr="009D1CC6" w:rsidRDefault="00BB480F" w:rsidP="00B856E9">
            <w:pPr>
              <w:pStyle w:val="TableText"/>
            </w:pPr>
          </w:p>
        </w:tc>
        <w:tc>
          <w:tcPr>
            <w:tcW w:w="1276" w:type="dxa"/>
          </w:tcPr>
          <w:p w14:paraId="6CD9700B" w14:textId="7B0AB2DE" w:rsidR="00BB480F" w:rsidRPr="009D1CC6" w:rsidRDefault="001A1737" w:rsidP="001A1737">
            <w:pPr>
              <w:pStyle w:val="TableText"/>
              <w:jc w:val="center"/>
            </w:pPr>
            <w:r>
              <w:lastRenderedPageBreak/>
              <w:t>2</w:t>
            </w:r>
          </w:p>
        </w:tc>
        <w:tc>
          <w:tcPr>
            <w:tcW w:w="2471" w:type="dxa"/>
          </w:tcPr>
          <w:p w14:paraId="6B7610F5" w14:textId="49CDEFA4" w:rsidR="00BB480F" w:rsidRDefault="009A625A" w:rsidP="00B856E9">
            <w:pPr>
              <w:pStyle w:val="TableText"/>
            </w:pPr>
            <w:r>
              <w:t xml:space="preserve">Divisional Director of Operations/Divisional Director of Nursing/Associate Medical Director </w:t>
            </w:r>
          </w:p>
          <w:p w14:paraId="29DB327B" w14:textId="77777777" w:rsidR="009A625A" w:rsidRDefault="009A625A" w:rsidP="00B856E9">
            <w:pPr>
              <w:pStyle w:val="TableText"/>
            </w:pPr>
          </w:p>
          <w:p w14:paraId="7A60A913" w14:textId="77777777" w:rsidR="009A625A" w:rsidRDefault="009A625A" w:rsidP="00B856E9">
            <w:pPr>
              <w:pStyle w:val="TableText"/>
            </w:pPr>
          </w:p>
          <w:p w14:paraId="7D5B16D8" w14:textId="77777777" w:rsidR="009A625A" w:rsidRDefault="009A625A" w:rsidP="00B856E9">
            <w:pPr>
              <w:pStyle w:val="TableText"/>
            </w:pPr>
          </w:p>
          <w:p w14:paraId="06671BEC" w14:textId="77777777" w:rsidR="009A625A" w:rsidRDefault="009A625A" w:rsidP="00B856E9">
            <w:pPr>
              <w:pStyle w:val="TableText"/>
            </w:pPr>
          </w:p>
          <w:p w14:paraId="1DD24C2D" w14:textId="77777777" w:rsidR="009A625A" w:rsidRDefault="009A625A" w:rsidP="00B856E9">
            <w:pPr>
              <w:pStyle w:val="TableText"/>
            </w:pPr>
          </w:p>
          <w:p w14:paraId="4B7E7F97" w14:textId="77777777" w:rsidR="009A625A" w:rsidRDefault="009A625A" w:rsidP="00B856E9">
            <w:pPr>
              <w:pStyle w:val="TableText"/>
            </w:pPr>
          </w:p>
          <w:p w14:paraId="2AC8BF55" w14:textId="77777777" w:rsidR="009A625A" w:rsidRDefault="009A625A" w:rsidP="00B856E9">
            <w:pPr>
              <w:pStyle w:val="TableText"/>
            </w:pPr>
          </w:p>
          <w:p w14:paraId="2B9E7A7F" w14:textId="77777777" w:rsidR="009A625A" w:rsidRDefault="009A625A" w:rsidP="00B856E9">
            <w:pPr>
              <w:pStyle w:val="TableText"/>
            </w:pPr>
          </w:p>
          <w:p w14:paraId="632CA9A5" w14:textId="77777777" w:rsidR="009A625A" w:rsidRDefault="009A625A" w:rsidP="00B856E9">
            <w:pPr>
              <w:pStyle w:val="TableText"/>
            </w:pPr>
          </w:p>
          <w:p w14:paraId="548CC201" w14:textId="6537791D" w:rsidR="009A625A" w:rsidRDefault="009A625A" w:rsidP="00B856E9">
            <w:pPr>
              <w:pStyle w:val="TableText"/>
            </w:pPr>
            <w:r>
              <w:t>Head of Midwifery</w:t>
            </w:r>
          </w:p>
          <w:p w14:paraId="4BC74962" w14:textId="77777777" w:rsidR="009A625A" w:rsidRDefault="009A625A" w:rsidP="00B856E9">
            <w:pPr>
              <w:pStyle w:val="TableText"/>
            </w:pPr>
          </w:p>
          <w:p w14:paraId="6A4FD2FC" w14:textId="77777777" w:rsidR="009A625A" w:rsidRDefault="009A625A" w:rsidP="00B856E9">
            <w:pPr>
              <w:pStyle w:val="TableText"/>
            </w:pPr>
          </w:p>
          <w:p w14:paraId="55D0F5C2" w14:textId="77777777" w:rsidR="009A625A" w:rsidRDefault="009A625A" w:rsidP="00B856E9">
            <w:pPr>
              <w:pStyle w:val="TableText"/>
            </w:pPr>
          </w:p>
          <w:p w14:paraId="77C113D2" w14:textId="77777777" w:rsidR="009A625A" w:rsidRDefault="009A625A" w:rsidP="00B856E9">
            <w:pPr>
              <w:pStyle w:val="TableText"/>
            </w:pPr>
          </w:p>
          <w:p w14:paraId="233EC21D" w14:textId="77777777" w:rsidR="009A625A" w:rsidRDefault="009A625A" w:rsidP="00B856E9">
            <w:pPr>
              <w:pStyle w:val="TableText"/>
            </w:pPr>
          </w:p>
          <w:p w14:paraId="2DD7F053" w14:textId="77777777" w:rsidR="009A625A" w:rsidRDefault="009A625A" w:rsidP="00B856E9">
            <w:pPr>
              <w:pStyle w:val="TableText"/>
            </w:pPr>
          </w:p>
          <w:p w14:paraId="5971B0E0" w14:textId="77777777" w:rsidR="009A625A" w:rsidRDefault="009A625A" w:rsidP="00B856E9">
            <w:pPr>
              <w:pStyle w:val="TableText"/>
            </w:pPr>
          </w:p>
          <w:p w14:paraId="15DADEAE" w14:textId="5B59F751" w:rsidR="009A625A" w:rsidRDefault="009A625A" w:rsidP="00B856E9">
            <w:pPr>
              <w:pStyle w:val="TableText"/>
            </w:pPr>
            <w:r>
              <w:t xml:space="preserve">Lead Nurse for Nutrition </w:t>
            </w:r>
          </w:p>
          <w:p w14:paraId="6CAC56B8" w14:textId="3DBA8429" w:rsidR="009A625A" w:rsidRPr="009D1CC6" w:rsidRDefault="009A625A" w:rsidP="00B856E9">
            <w:pPr>
              <w:pStyle w:val="TableText"/>
            </w:pPr>
          </w:p>
        </w:tc>
      </w:tr>
      <w:tr w:rsidR="00BB480F" w:rsidRPr="009D1CC6" w14:paraId="7173C406" w14:textId="77777777" w:rsidTr="00B856E9">
        <w:trPr>
          <w:cantSplit/>
          <w:trHeight w:val="1134"/>
        </w:trPr>
        <w:tc>
          <w:tcPr>
            <w:tcW w:w="1129" w:type="dxa"/>
            <w:vMerge/>
            <w:shd w:val="clear" w:color="auto" w:fill="BDDEFF" w:themeFill="accent1" w:themeFillTint="33"/>
          </w:tcPr>
          <w:p w14:paraId="37C786F8" w14:textId="77777777" w:rsidR="00BB480F" w:rsidRPr="009D1CC6" w:rsidRDefault="00BB480F" w:rsidP="00B856E9">
            <w:pPr>
              <w:rPr>
                <w:rFonts w:cs="Arial"/>
              </w:rPr>
            </w:pPr>
          </w:p>
        </w:tc>
        <w:tc>
          <w:tcPr>
            <w:tcW w:w="3969" w:type="dxa"/>
            <w:shd w:val="clear" w:color="auto" w:fill="BDDEFF" w:themeFill="accent1" w:themeFillTint="33"/>
            <w:vAlign w:val="center"/>
          </w:tcPr>
          <w:p w14:paraId="7C91A7AA" w14:textId="77777777" w:rsidR="00BB480F" w:rsidRPr="009D1CC6" w:rsidRDefault="00BB480F" w:rsidP="00B856E9">
            <w:pPr>
              <w:rPr>
                <w:rFonts w:cs="Arial"/>
              </w:rPr>
            </w:pPr>
            <w:r w:rsidRPr="009D1CC6">
              <w:rPr>
                <w:rFonts w:cs="Arial"/>
              </w:rPr>
              <w:t>1B: Individual p</w:t>
            </w:r>
            <w:r w:rsidRPr="009D1CC6">
              <w:rPr>
                <w:rFonts w:cs="Arial"/>
                <w:bCs/>
              </w:rPr>
              <w:t xml:space="preserve">atients (service users) </w:t>
            </w:r>
            <w:r w:rsidRPr="009D1CC6">
              <w:rPr>
                <w:rFonts w:cs="Arial"/>
              </w:rPr>
              <w:t>health needs are met</w:t>
            </w:r>
          </w:p>
        </w:tc>
        <w:tc>
          <w:tcPr>
            <w:tcW w:w="5103" w:type="dxa"/>
          </w:tcPr>
          <w:p w14:paraId="05E1728F"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ED:</w:t>
            </w:r>
          </w:p>
          <w:p w14:paraId="34F48B93" w14:textId="77777777" w:rsidR="001A1737" w:rsidRDefault="001A1737" w:rsidP="001A1737">
            <w:pPr>
              <w:pStyle w:val="xxmsonormal"/>
              <w:numPr>
                <w:ilvl w:val="0"/>
                <w:numId w:val="21"/>
              </w:numPr>
              <w:shd w:val="clear" w:color="auto" w:fill="FFFFFF"/>
              <w:spacing w:before="0" w:beforeAutospacing="0" w:after="0" w:afterAutospacing="0"/>
              <w:rPr>
                <w:rFonts w:ascii="Aptos" w:hAnsi="Aptos" w:cs="Segoe UI"/>
                <w:color w:val="242424"/>
              </w:rPr>
            </w:pPr>
            <w:r>
              <w:rPr>
                <w:rFonts w:ascii="Aptos" w:hAnsi="Aptos" w:cs="Segoe UI"/>
                <w:color w:val="242424"/>
              </w:rPr>
              <w:t>Enhanced senior clinical decision-making and SOPs to reduce delays and breaches.</w:t>
            </w:r>
          </w:p>
          <w:p w14:paraId="249B6603" w14:textId="77777777" w:rsidR="001A1737" w:rsidRDefault="001A1737" w:rsidP="001A1737">
            <w:pPr>
              <w:pStyle w:val="xxmsonormal"/>
              <w:numPr>
                <w:ilvl w:val="0"/>
                <w:numId w:val="21"/>
              </w:numPr>
              <w:shd w:val="clear" w:color="auto" w:fill="FFFFFF"/>
              <w:spacing w:before="0" w:beforeAutospacing="0" w:after="0" w:afterAutospacing="0"/>
              <w:rPr>
                <w:rFonts w:ascii="Aptos" w:hAnsi="Aptos" w:cs="Segoe UI"/>
                <w:color w:val="242424"/>
              </w:rPr>
            </w:pPr>
            <w:r>
              <w:rPr>
                <w:rFonts w:ascii="Aptos" w:hAnsi="Aptos" w:cs="Segoe UI"/>
                <w:color w:val="242424"/>
              </w:rPr>
              <w:t>Use of Language Line and Deaf and Sensory Network for inclusive communication.</w:t>
            </w:r>
            <w:r>
              <w:rPr>
                <w:rFonts w:ascii="Aptos" w:hAnsi="Aptos" w:cs="Segoe UI"/>
                <w:color w:val="242424"/>
              </w:rPr>
              <w:br/>
            </w:r>
            <w:r>
              <w:rPr>
                <w:rFonts w:ascii="Aptos" w:hAnsi="Aptos" w:cs="Segoe UI"/>
                <w:b/>
                <w:bCs/>
                <w:color w:val="242424"/>
              </w:rPr>
              <w:t>Evidence:</w:t>
            </w:r>
            <w:r>
              <w:rPr>
                <w:rFonts w:ascii="Aptos" w:hAnsi="Aptos" w:cs="Segoe UI"/>
                <w:color w:val="242424"/>
              </w:rPr>
              <w:t> SOPs, care/compassion workshops, improved ambulance handovers, and operational metrics.</w:t>
            </w:r>
          </w:p>
          <w:p w14:paraId="78A5523C"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Maternity &amp; Neonatal Voices:</w:t>
            </w:r>
          </w:p>
          <w:p w14:paraId="7950BD22" w14:textId="77777777" w:rsidR="001A1737" w:rsidRDefault="001A1737" w:rsidP="001A1737">
            <w:pPr>
              <w:pStyle w:val="xxmsonormal"/>
              <w:numPr>
                <w:ilvl w:val="0"/>
                <w:numId w:val="22"/>
              </w:numPr>
              <w:shd w:val="clear" w:color="auto" w:fill="FFFFFF"/>
              <w:spacing w:before="0" w:beforeAutospacing="0" w:after="0" w:afterAutospacing="0"/>
              <w:rPr>
                <w:rFonts w:ascii="Aptos" w:hAnsi="Aptos" w:cs="Segoe UI"/>
                <w:color w:val="242424"/>
              </w:rPr>
            </w:pPr>
            <w:r>
              <w:rPr>
                <w:rFonts w:ascii="Aptos" w:hAnsi="Aptos" w:cs="Segoe UI"/>
                <w:color w:val="242424"/>
              </w:rPr>
              <w:t>Birthing Debriefs to identify learning and improve care.</w:t>
            </w:r>
          </w:p>
          <w:p w14:paraId="2974AC93" w14:textId="77777777" w:rsidR="001A1737" w:rsidRDefault="001A1737" w:rsidP="001A1737">
            <w:pPr>
              <w:pStyle w:val="xxmsonormal"/>
              <w:numPr>
                <w:ilvl w:val="0"/>
                <w:numId w:val="22"/>
              </w:numPr>
              <w:shd w:val="clear" w:color="auto" w:fill="FFFFFF"/>
              <w:spacing w:before="0" w:beforeAutospacing="0" w:after="0" w:afterAutospacing="0"/>
              <w:rPr>
                <w:rFonts w:ascii="Aptos" w:hAnsi="Aptos" w:cs="Segoe UI"/>
                <w:color w:val="242424"/>
              </w:rPr>
            </w:pPr>
            <w:r>
              <w:rPr>
                <w:rFonts w:ascii="Aptos" w:hAnsi="Aptos" w:cs="Segoe UI"/>
                <w:color w:val="242424"/>
              </w:rPr>
              <w:t>Staff cultural competency and LGBTQIA+ training to improve individualised care.</w:t>
            </w:r>
          </w:p>
          <w:p w14:paraId="7C0D5A8A" w14:textId="77777777" w:rsidR="001A1737" w:rsidRDefault="001A1737" w:rsidP="001A1737">
            <w:pPr>
              <w:pStyle w:val="xxmsonormal"/>
              <w:numPr>
                <w:ilvl w:val="0"/>
                <w:numId w:val="22"/>
              </w:numPr>
              <w:shd w:val="clear" w:color="auto" w:fill="FFFFFF"/>
              <w:spacing w:before="0" w:beforeAutospacing="0" w:after="0" w:afterAutospacing="0"/>
              <w:rPr>
                <w:rFonts w:ascii="Aptos" w:hAnsi="Aptos" w:cs="Segoe UI"/>
                <w:color w:val="242424"/>
              </w:rPr>
            </w:pPr>
            <w:r>
              <w:rPr>
                <w:rFonts w:ascii="Aptos" w:hAnsi="Aptos" w:cs="Segoe UI"/>
                <w:color w:val="242424"/>
              </w:rPr>
              <w:t>Collection of key patient data (mode of delivery, baby size) for tailored care.</w:t>
            </w:r>
            <w:r>
              <w:rPr>
                <w:rFonts w:ascii="Aptos" w:hAnsi="Aptos" w:cs="Segoe UI"/>
                <w:color w:val="242424"/>
              </w:rPr>
              <w:br/>
            </w:r>
            <w:r>
              <w:rPr>
                <w:rFonts w:ascii="Aptos" w:hAnsi="Aptos" w:cs="Segoe UI"/>
                <w:b/>
                <w:bCs/>
                <w:color w:val="242424"/>
              </w:rPr>
              <w:lastRenderedPageBreak/>
              <w:t>Evidence:</w:t>
            </w:r>
            <w:r>
              <w:rPr>
                <w:rFonts w:ascii="Aptos" w:hAnsi="Aptos" w:cs="Segoe UI"/>
                <w:color w:val="242424"/>
              </w:rPr>
              <w:t> Audits, compliance with safety actions, Maternity and Neonatal Voices feedback, dashboard data.</w:t>
            </w:r>
          </w:p>
          <w:p w14:paraId="275769DA"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Nutrition &amp; Hydration:</w:t>
            </w:r>
          </w:p>
          <w:p w14:paraId="5F84A4A3" w14:textId="77777777" w:rsidR="001A1737" w:rsidRDefault="001A1737" w:rsidP="001A1737">
            <w:pPr>
              <w:pStyle w:val="xxmsonormal"/>
              <w:numPr>
                <w:ilvl w:val="0"/>
                <w:numId w:val="23"/>
              </w:numPr>
              <w:shd w:val="clear" w:color="auto" w:fill="FFFFFF"/>
              <w:spacing w:before="0" w:beforeAutospacing="0" w:after="0" w:afterAutospacing="0"/>
              <w:rPr>
                <w:rFonts w:ascii="Aptos" w:hAnsi="Aptos" w:cs="Segoe UI"/>
                <w:color w:val="242424"/>
              </w:rPr>
            </w:pPr>
            <w:r>
              <w:rPr>
                <w:rFonts w:ascii="Aptos" w:hAnsi="Aptos" w:cs="Segoe UI"/>
                <w:color w:val="242424"/>
              </w:rPr>
              <w:t>Individual nutrition and hydration assessments, including religious and cultural needs.</w:t>
            </w:r>
          </w:p>
          <w:p w14:paraId="7EACF640" w14:textId="77777777" w:rsidR="001A1737" w:rsidRDefault="001A1737" w:rsidP="001A1737">
            <w:pPr>
              <w:pStyle w:val="xxmsonormal"/>
              <w:numPr>
                <w:ilvl w:val="0"/>
                <w:numId w:val="23"/>
              </w:numPr>
              <w:shd w:val="clear" w:color="auto" w:fill="FFFFFF"/>
              <w:spacing w:before="0" w:beforeAutospacing="0" w:after="0" w:afterAutospacing="0"/>
              <w:rPr>
                <w:rFonts w:ascii="Aptos" w:hAnsi="Aptos" w:cs="Segoe UI"/>
                <w:color w:val="242424"/>
              </w:rPr>
            </w:pPr>
            <w:r>
              <w:rPr>
                <w:rFonts w:ascii="Aptos" w:hAnsi="Aptos" w:cs="Segoe UI"/>
                <w:color w:val="242424"/>
              </w:rPr>
              <w:t>Assisted feeding, mealtime support, and “This is Me” approach for personalised care.</w:t>
            </w:r>
            <w:r>
              <w:rPr>
                <w:rFonts w:ascii="Aptos" w:hAnsi="Aptos" w:cs="Segoe UI"/>
                <w:color w:val="242424"/>
              </w:rPr>
              <w:br/>
            </w:r>
            <w:r>
              <w:rPr>
                <w:rFonts w:ascii="Aptos" w:hAnsi="Aptos" w:cs="Segoe UI"/>
                <w:b/>
                <w:bCs/>
                <w:color w:val="242424"/>
              </w:rPr>
              <w:t>Evidence:</w:t>
            </w:r>
            <w:r>
              <w:rPr>
                <w:rFonts w:ascii="Aptos" w:hAnsi="Aptos" w:cs="Segoe UI"/>
                <w:color w:val="242424"/>
              </w:rPr>
              <w:t> Mealtime Experience Audits, patient safety incident themes, quarterly nutrition reports.</w:t>
            </w:r>
          </w:p>
          <w:p w14:paraId="7ADA2136" w14:textId="77777777" w:rsidR="00BB480F" w:rsidRPr="009D1CC6" w:rsidRDefault="00BB480F" w:rsidP="00B856E9">
            <w:pPr>
              <w:pStyle w:val="TableText"/>
            </w:pPr>
          </w:p>
        </w:tc>
        <w:tc>
          <w:tcPr>
            <w:tcW w:w="1276" w:type="dxa"/>
          </w:tcPr>
          <w:p w14:paraId="1D390995" w14:textId="07018A25" w:rsidR="00BB480F" w:rsidRPr="009D1CC6" w:rsidRDefault="001A1737" w:rsidP="001A1737">
            <w:pPr>
              <w:pStyle w:val="TableText"/>
              <w:jc w:val="center"/>
            </w:pPr>
            <w:r>
              <w:lastRenderedPageBreak/>
              <w:t>1.5</w:t>
            </w:r>
          </w:p>
        </w:tc>
        <w:tc>
          <w:tcPr>
            <w:tcW w:w="2471" w:type="dxa"/>
          </w:tcPr>
          <w:p w14:paraId="7649B3A5" w14:textId="77777777" w:rsidR="00BB480F" w:rsidRDefault="009A625A" w:rsidP="00B856E9">
            <w:pPr>
              <w:pStyle w:val="TableText"/>
            </w:pPr>
            <w:r w:rsidRPr="009A625A">
              <w:t>Divisional Director of Operations/Divisional Director of Nursing/Associate Medical Director</w:t>
            </w:r>
          </w:p>
          <w:p w14:paraId="7E09BF90" w14:textId="77777777" w:rsidR="009A625A" w:rsidRDefault="009A625A" w:rsidP="00B856E9">
            <w:pPr>
              <w:pStyle w:val="TableText"/>
            </w:pPr>
          </w:p>
          <w:p w14:paraId="785458D0" w14:textId="77777777" w:rsidR="009A625A" w:rsidRDefault="009A625A" w:rsidP="00B856E9">
            <w:pPr>
              <w:pStyle w:val="TableText"/>
            </w:pPr>
          </w:p>
          <w:p w14:paraId="4411D33E" w14:textId="77777777" w:rsidR="009A625A" w:rsidRDefault="009A625A" w:rsidP="00B856E9">
            <w:pPr>
              <w:pStyle w:val="TableText"/>
            </w:pPr>
          </w:p>
          <w:p w14:paraId="5ED34CF2" w14:textId="77777777" w:rsidR="009A625A" w:rsidRDefault="009A625A" w:rsidP="00B856E9">
            <w:pPr>
              <w:pStyle w:val="TableText"/>
            </w:pPr>
          </w:p>
          <w:p w14:paraId="4DA7DDDB" w14:textId="77777777" w:rsidR="009A625A" w:rsidRDefault="009A625A" w:rsidP="00B856E9">
            <w:pPr>
              <w:pStyle w:val="TableText"/>
            </w:pPr>
          </w:p>
          <w:p w14:paraId="3ADE043F" w14:textId="77777777" w:rsidR="009A625A" w:rsidRDefault="009A625A" w:rsidP="00B856E9">
            <w:pPr>
              <w:pStyle w:val="TableText"/>
            </w:pPr>
          </w:p>
          <w:p w14:paraId="39C9E0F5" w14:textId="12FE80BD" w:rsidR="009A625A" w:rsidRDefault="009A625A" w:rsidP="00B856E9">
            <w:pPr>
              <w:pStyle w:val="TableText"/>
            </w:pPr>
            <w:r w:rsidRPr="009A625A">
              <w:t>Head of Midwifery</w:t>
            </w:r>
          </w:p>
          <w:p w14:paraId="1B2AE1A9" w14:textId="77777777" w:rsidR="009A625A" w:rsidRDefault="009A625A" w:rsidP="00B856E9">
            <w:pPr>
              <w:pStyle w:val="TableText"/>
            </w:pPr>
          </w:p>
          <w:p w14:paraId="2262AAC1" w14:textId="77777777" w:rsidR="009A625A" w:rsidRDefault="009A625A" w:rsidP="00B856E9">
            <w:pPr>
              <w:pStyle w:val="TableText"/>
            </w:pPr>
          </w:p>
          <w:p w14:paraId="3CBB44E3" w14:textId="77777777" w:rsidR="009A625A" w:rsidRDefault="009A625A" w:rsidP="00B856E9">
            <w:pPr>
              <w:pStyle w:val="TableText"/>
            </w:pPr>
          </w:p>
          <w:p w14:paraId="01A260E4" w14:textId="77777777" w:rsidR="009A625A" w:rsidRDefault="009A625A" w:rsidP="00B856E9">
            <w:pPr>
              <w:pStyle w:val="TableText"/>
            </w:pPr>
          </w:p>
          <w:p w14:paraId="7888C57F" w14:textId="77777777" w:rsidR="009A625A" w:rsidRDefault="009A625A" w:rsidP="00B856E9">
            <w:pPr>
              <w:pStyle w:val="TableText"/>
            </w:pPr>
          </w:p>
          <w:p w14:paraId="6762FFB4" w14:textId="77777777" w:rsidR="009A625A" w:rsidRDefault="009A625A" w:rsidP="00B856E9">
            <w:pPr>
              <w:pStyle w:val="TableText"/>
            </w:pPr>
          </w:p>
          <w:p w14:paraId="5C3A00F8" w14:textId="77777777" w:rsidR="009A625A" w:rsidRDefault="009A625A" w:rsidP="00B856E9">
            <w:pPr>
              <w:pStyle w:val="TableText"/>
            </w:pPr>
          </w:p>
          <w:p w14:paraId="1635E73E" w14:textId="77777777" w:rsidR="009A625A" w:rsidRDefault="009A625A" w:rsidP="00B856E9">
            <w:pPr>
              <w:pStyle w:val="TableText"/>
            </w:pPr>
          </w:p>
          <w:p w14:paraId="78899472" w14:textId="77777777" w:rsidR="009A625A" w:rsidRDefault="009A625A" w:rsidP="00B856E9">
            <w:pPr>
              <w:pStyle w:val="TableText"/>
            </w:pPr>
          </w:p>
          <w:p w14:paraId="2CC4C08E" w14:textId="77777777" w:rsidR="009A625A" w:rsidRDefault="009A625A" w:rsidP="00B856E9">
            <w:pPr>
              <w:pStyle w:val="TableText"/>
            </w:pPr>
          </w:p>
          <w:p w14:paraId="40BCA204" w14:textId="77777777" w:rsidR="009A625A" w:rsidRDefault="009A625A" w:rsidP="00B856E9">
            <w:pPr>
              <w:pStyle w:val="TableText"/>
            </w:pPr>
          </w:p>
          <w:p w14:paraId="1AA24C16" w14:textId="77777777" w:rsidR="009A625A" w:rsidRDefault="009A625A" w:rsidP="00B856E9">
            <w:pPr>
              <w:pStyle w:val="TableText"/>
            </w:pPr>
          </w:p>
          <w:p w14:paraId="52E3892B" w14:textId="77777777" w:rsidR="009A625A" w:rsidRDefault="009A625A" w:rsidP="00B856E9">
            <w:pPr>
              <w:pStyle w:val="TableText"/>
            </w:pPr>
          </w:p>
          <w:p w14:paraId="64658AD3" w14:textId="77777777" w:rsidR="009A625A" w:rsidRDefault="009A625A" w:rsidP="00B856E9">
            <w:pPr>
              <w:pStyle w:val="TableText"/>
            </w:pPr>
          </w:p>
          <w:p w14:paraId="4470CE77" w14:textId="77777777" w:rsidR="009A625A" w:rsidRDefault="009A625A" w:rsidP="00B856E9">
            <w:pPr>
              <w:pStyle w:val="TableText"/>
            </w:pPr>
          </w:p>
          <w:p w14:paraId="484DB7F9" w14:textId="77777777" w:rsidR="009A625A" w:rsidRDefault="009A625A" w:rsidP="00B856E9">
            <w:pPr>
              <w:pStyle w:val="TableText"/>
            </w:pPr>
          </w:p>
          <w:p w14:paraId="76E59966" w14:textId="77777777" w:rsidR="009A625A" w:rsidRDefault="009A625A" w:rsidP="00B856E9">
            <w:pPr>
              <w:pStyle w:val="TableText"/>
            </w:pPr>
          </w:p>
          <w:p w14:paraId="30316170" w14:textId="538E605D" w:rsidR="009A625A" w:rsidRPr="009D1CC6" w:rsidRDefault="009A625A" w:rsidP="00B856E9">
            <w:pPr>
              <w:pStyle w:val="TableText"/>
            </w:pPr>
            <w:r w:rsidRPr="009A625A">
              <w:t>Lead Nurse for Nutrition</w:t>
            </w:r>
          </w:p>
        </w:tc>
      </w:tr>
      <w:tr w:rsidR="00BB480F" w:rsidRPr="009D1CC6" w14:paraId="16DB3463" w14:textId="77777777" w:rsidTr="00B856E9">
        <w:trPr>
          <w:cantSplit/>
          <w:trHeight w:val="1134"/>
        </w:trPr>
        <w:tc>
          <w:tcPr>
            <w:tcW w:w="1129" w:type="dxa"/>
            <w:vMerge/>
            <w:shd w:val="clear" w:color="auto" w:fill="BDDEFF" w:themeFill="accent1" w:themeFillTint="33"/>
          </w:tcPr>
          <w:p w14:paraId="01341F2E" w14:textId="77777777" w:rsidR="00BB480F" w:rsidRPr="009D1CC6" w:rsidRDefault="00BB480F" w:rsidP="00B856E9">
            <w:pPr>
              <w:rPr>
                <w:rFonts w:cs="Arial"/>
              </w:rPr>
            </w:pPr>
          </w:p>
        </w:tc>
        <w:tc>
          <w:tcPr>
            <w:tcW w:w="3969" w:type="dxa"/>
            <w:shd w:val="clear" w:color="auto" w:fill="BDDEFF" w:themeFill="accent1" w:themeFillTint="33"/>
            <w:vAlign w:val="center"/>
          </w:tcPr>
          <w:p w14:paraId="479CEB12" w14:textId="77777777" w:rsidR="00BB480F" w:rsidRPr="009D1CC6" w:rsidRDefault="00BB480F" w:rsidP="00B856E9">
            <w:pPr>
              <w:rPr>
                <w:rFonts w:cs="Arial"/>
              </w:rPr>
            </w:pPr>
            <w:r w:rsidRPr="009D1CC6">
              <w:rPr>
                <w:rFonts w:cs="Arial"/>
              </w:rPr>
              <w:t>1C: When p</w:t>
            </w:r>
            <w:r w:rsidRPr="009D1CC6">
              <w:rPr>
                <w:rFonts w:cs="Arial"/>
                <w:bCs/>
              </w:rPr>
              <w:t xml:space="preserve">atients (service users) </w:t>
            </w:r>
            <w:r w:rsidRPr="009D1CC6">
              <w:rPr>
                <w:rFonts w:cs="Arial"/>
              </w:rPr>
              <w:t>use the service, they are free from harm</w:t>
            </w:r>
          </w:p>
        </w:tc>
        <w:tc>
          <w:tcPr>
            <w:tcW w:w="5103" w:type="dxa"/>
          </w:tcPr>
          <w:p w14:paraId="37464CC5"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ED:</w:t>
            </w:r>
          </w:p>
          <w:p w14:paraId="1EFC035A" w14:textId="77777777" w:rsidR="001A1737" w:rsidRDefault="001A1737" w:rsidP="001A1737">
            <w:pPr>
              <w:pStyle w:val="xxmsonormal"/>
              <w:numPr>
                <w:ilvl w:val="0"/>
                <w:numId w:val="24"/>
              </w:numPr>
              <w:shd w:val="clear" w:color="auto" w:fill="FFFFFF"/>
              <w:spacing w:before="0" w:beforeAutospacing="0" w:after="0" w:afterAutospacing="0"/>
              <w:rPr>
                <w:rFonts w:ascii="Aptos" w:hAnsi="Aptos" w:cs="Segoe UI"/>
                <w:color w:val="242424"/>
              </w:rPr>
            </w:pPr>
            <w:r>
              <w:rPr>
                <w:rFonts w:ascii="Aptos" w:hAnsi="Aptos" w:cs="Segoe UI"/>
                <w:color w:val="242424"/>
              </w:rPr>
              <w:t>SOPs, behavioural standards, and care workshops reduce risks of poor care.</w:t>
            </w:r>
          </w:p>
          <w:p w14:paraId="451948BF" w14:textId="77777777" w:rsidR="001A1737" w:rsidRDefault="001A1737" w:rsidP="001A1737">
            <w:pPr>
              <w:pStyle w:val="xxmsonormal"/>
              <w:numPr>
                <w:ilvl w:val="0"/>
                <w:numId w:val="24"/>
              </w:numPr>
              <w:shd w:val="clear" w:color="auto" w:fill="FFFFFF"/>
              <w:spacing w:before="0" w:beforeAutospacing="0" w:after="0" w:afterAutospacing="0"/>
              <w:rPr>
                <w:rFonts w:ascii="Aptos" w:hAnsi="Aptos" w:cs="Segoe UI"/>
                <w:color w:val="242424"/>
              </w:rPr>
            </w:pPr>
            <w:r>
              <w:rPr>
                <w:rFonts w:ascii="Aptos" w:hAnsi="Aptos" w:cs="Segoe UI"/>
                <w:color w:val="242424"/>
              </w:rPr>
              <w:t>IPC, mattress/curtain audits, and corridor care management.</w:t>
            </w:r>
            <w:r>
              <w:rPr>
                <w:rFonts w:ascii="Aptos" w:hAnsi="Aptos" w:cs="Segoe UI"/>
                <w:color w:val="242424"/>
              </w:rPr>
              <w:br/>
            </w:r>
            <w:r>
              <w:rPr>
                <w:rFonts w:ascii="Aptos" w:hAnsi="Aptos" w:cs="Segoe UI"/>
                <w:b/>
                <w:bCs/>
                <w:color w:val="242424"/>
              </w:rPr>
              <w:t>Evidence:</w:t>
            </w:r>
            <w:r>
              <w:rPr>
                <w:rFonts w:ascii="Aptos" w:hAnsi="Aptos" w:cs="Segoe UI"/>
                <w:color w:val="242424"/>
              </w:rPr>
              <w:t xml:space="preserve"> Audit outcomes, CQC Section 29a warning addressed, reduced breaches and corridor </w:t>
            </w:r>
            <w:proofErr w:type="gramStart"/>
            <w:r>
              <w:rPr>
                <w:rFonts w:ascii="Aptos" w:hAnsi="Aptos" w:cs="Segoe UI"/>
                <w:color w:val="242424"/>
              </w:rPr>
              <w:t>waits</w:t>
            </w:r>
            <w:proofErr w:type="gramEnd"/>
            <w:r>
              <w:rPr>
                <w:rFonts w:ascii="Aptos" w:hAnsi="Aptos" w:cs="Segoe UI"/>
                <w:color w:val="242424"/>
              </w:rPr>
              <w:t>.</w:t>
            </w:r>
          </w:p>
          <w:p w14:paraId="760891F0"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Maternity &amp; Neonatal Voices:</w:t>
            </w:r>
          </w:p>
          <w:p w14:paraId="41D39A20" w14:textId="77777777" w:rsidR="001A1737" w:rsidRDefault="001A1737" w:rsidP="001A1737">
            <w:pPr>
              <w:pStyle w:val="xxmsonormal"/>
              <w:numPr>
                <w:ilvl w:val="0"/>
                <w:numId w:val="25"/>
              </w:numPr>
              <w:shd w:val="clear" w:color="auto" w:fill="FFFFFF"/>
              <w:spacing w:before="0" w:beforeAutospacing="0" w:after="0" w:afterAutospacing="0"/>
              <w:rPr>
                <w:rFonts w:ascii="Aptos" w:hAnsi="Aptos" w:cs="Segoe UI"/>
                <w:color w:val="242424"/>
              </w:rPr>
            </w:pPr>
            <w:r>
              <w:rPr>
                <w:rFonts w:ascii="Aptos" w:hAnsi="Aptos" w:cs="Segoe UI"/>
                <w:color w:val="242424"/>
              </w:rPr>
              <w:t>Safety Action 2, incident monitoring, and oversight via Maternity and Neonatal safety champions.</w:t>
            </w:r>
          </w:p>
          <w:p w14:paraId="6DCC93DD" w14:textId="77777777" w:rsidR="001A1737" w:rsidRDefault="001A1737" w:rsidP="001A1737">
            <w:pPr>
              <w:pStyle w:val="xxmsonormal"/>
              <w:numPr>
                <w:ilvl w:val="0"/>
                <w:numId w:val="25"/>
              </w:numPr>
              <w:shd w:val="clear" w:color="auto" w:fill="FFFFFF"/>
              <w:spacing w:before="0" w:beforeAutospacing="0" w:after="0" w:afterAutospacing="0"/>
              <w:rPr>
                <w:rFonts w:ascii="Aptos" w:hAnsi="Aptos" w:cs="Segoe UI"/>
                <w:color w:val="242424"/>
              </w:rPr>
            </w:pPr>
            <w:r>
              <w:rPr>
                <w:rFonts w:ascii="Aptos" w:hAnsi="Aptos" w:cs="Segoe UI"/>
                <w:color w:val="242424"/>
              </w:rPr>
              <w:t>Learning and sharing from complaints and incidents.</w:t>
            </w:r>
            <w:r>
              <w:rPr>
                <w:rFonts w:ascii="Aptos" w:hAnsi="Aptos" w:cs="Segoe UI"/>
                <w:color w:val="242424"/>
              </w:rPr>
              <w:br/>
            </w:r>
            <w:r>
              <w:rPr>
                <w:rFonts w:ascii="Aptos" w:hAnsi="Aptos" w:cs="Segoe UI"/>
                <w:b/>
                <w:bCs/>
                <w:color w:val="242424"/>
              </w:rPr>
              <w:t>Evidence:</w:t>
            </w:r>
            <w:r>
              <w:rPr>
                <w:rFonts w:ascii="Aptos" w:hAnsi="Aptos" w:cs="Segoe UI"/>
                <w:color w:val="242424"/>
              </w:rPr>
              <w:t xml:space="preserve"> Incident trends, audits, </w:t>
            </w:r>
            <w:r>
              <w:rPr>
                <w:rFonts w:ascii="Aptos" w:hAnsi="Aptos" w:cs="Segoe UI"/>
                <w:color w:val="242424"/>
              </w:rPr>
              <w:lastRenderedPageBreak/>
              <w:t>debrief findings, and compliance with safety action plans.</w:t>
            </w:r>
          </w:p>
          <w:p w14:paraId="5C51881C"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Nutrition &amp; Hydration:</w:t>
            </w:r>
          </w:p>
          <w:p w14:paraId="3EDF79B5" w14:textId="77777777" w:rsidR="001A1737" w:rsidRDefault="001A1737" w:rsidP="001A1737">
            <w:pPr>
              <w:pStyle w:val="xxmsonormal"/>
              <w:numPr>
                <w:ilvl w:val="0"/>
                <w:numId w:val="26"/>
              </w:numPr>
              <w:shd w:val="clear" w:color="auto" w:fill="FFFFFF"/>
              <w:spacing w:before="0" w:beforeAutospacing="0" w:after="0" w:afterAutospacing="0"/>
              <w:rPr>
                <w:rFonts w:ascii="Aptos" w:hAnsi="Aptos" w:cs="Segoe UI"/>
                <w:color w:val="242424"/>
              </w:rPr>
            </w:pPr>
            <w:r>
              <w:rPr>
                <w:rFonts w:ascii="Aptos" w:hAnsi="Aptos" w:cs="Segoe UI"/>
                <w:color w:val="242424"/>
              </w:rPr>
              <w:t>Proactive monitoring of malnutrition and dehydration to prevent harm.</w:t>
            </w:r>
          </w:p>
          <w:p w14:paraId="1E4CDEEF" w14:textId="77777777" w:rsidR="001A1737" w:rsidRDefault="001A1737" w:rsidP="001A1737">
            <w:pPr>
              <w:pStyle w:val="xxmsonormal"/>
              <w:numPr>
                <w:ilvl w:val="0"/>
                <w:numId w:val="26"/>
              </w:numPr>
              <w:shd w:val="clear" w:color="auto" w:fill="FFFFFF"/>
              <w:spacing w:before="0" w:beforeAutospacing="0" w:after="0" w:afterAutospacing="0"/>
              <w:rPr>
                <w:rFonts w:ascii="Aptos" w:hAnsi="Aptos" w:cs="Segoe UI"/>
                <w:color w:val="242424"/>
              </w:rPr>
            </w:pPr>
            <w:r>
              <w:rPr>
                <w:rFonts w:ascii="Aptos" w:hAnsi="Aptos" w:cs="Segoe UI"/>
                <w:color w:val="242424"/>
              </w:rPr>
              <w:t>Focused improvement work on MUST completion ensures timely intervention.</w:t>
            </w:r>
            <w:r>
              <w:rPr>
                <w:rFonts w:ascii="Aptos" w:hAnsi="Aptos" w:cs="Segoe UI"/>
                <w:color w:val="242424"/>
              </w:rPr>
              <w:br/>
            </w:r>
            <w:r>
              <w:rPr>
                <w:rFonts w:ascii="Aptos" w:hAnsi="Aptos" w:cs="Segoe UI"/>
                <w:b/>
                <w:bCs/>
                <w:color w:val="242424"/>
              </w:rPr>
              <w:t>Evidence:</w:t>
            </w:r>
            <w:r>
              <w:rPr>
                <w:rFonts w:ascii="Aptos" w:hAnsi="Aptos" w:cs="Segoe UI"/>
                <w:color w:val="242424"/>
              </w:rPr>
              <w:t> MUST compliance (75–85%), patient safety incidents related to nutrition/hydration monitored and addressed.</w:t>
            </w:r>
          </w:p>
          <w:p w14:paraId="69F2F6B1" w14:textId="77777777" w:rsidR="00BB480F" w:rsidRPr="009D1CC6" w:rsidRDefault="00BB480F" w:rsidP="00B856E9">
            <w:pPr>
              <w:pStyle w:val="TableText"/>
            </w:pPr>
          </w:p>
        </w:tc>
        <w:tc>
          <w:tcPr>
            <w:tcW w:w="1276" w:type="dxa"/>
          </w:tcPr>
          <w:p w14:paraId="28EED1D9" w14:textId="5C3A11AE" w:rsidR="00BB480F" w:rsidRPr="009D1CC6" w:rsidRDefault="001A1737" w:rsidP="001A1737">
            <w:pPr>
              <w:pStyle w:val="TableText"/>
              <w:jc w:val="center"/>
            </w:pPr>
            <w:r>
              <w:lastRenderedPageBreak/>
              <w:t>3</w:t>
            </w:r>
          </w:p>
        </w:tc>
        <w:tc>
          <w:tcPr>
            <w:tcW w:w="2471" w:type="dxa"/>
          </w:tcPr>
          <w:p w14:paraId="106213A9" w14:textId="77777777" w:rsidR="00BB480F" w:rsidRDefault="009A625A" w:rsidP="00B856E9">
            <w:pPr>
              <w:pStyle w:val="TableText"/>
            </w:pPr>
            <w:r w:rsidRPr="009A625A">
              <w:t>Divisional Director of Operations/Divisional Director of Nursing/Associate Medical Director</w:t>
            </w:r>
          </w:p>
          <w:p w14:paraId="605491B5" w14:textId="77777777" w:rsidR="009A625A" w:rsidRDefault="009A625A" w:rsidP="00B856E9">
            <w:pPr>
              <w:pStyle w:val="TableText"/>
            </w:pPr>
          </w:p>
          <w:p w14:paraId="558C2165" w14:textId="77777777" w:rsidR="009A625A" w:rsidRDefault="009A625A" w:rsidP="00B856E9">
            <w:pPr>
              <w:pStyle w:val="TableText"/>
            </w:pPr>
          </w:p>
          <w:p w14:paraId="3A68CE47" w14:textId="77777777" w:rsidR="009A625A" w:rsidRDefault="009A625A" w:rsidP="00B856E9">
            <w:pPr>
              <w:pStyle w:val="TableText"/>
            </w:pPr>
          </w:p>
          <w:p w14:paraId="62BE9101" w14:textId="77777777" w:rsidR="009A625A" w:rsidRDefault="009A625A" w:rsidP="00B856E9">
            <w:pPr>
              <w:pStyle w:val="TableText"/>
            </w:pPr>
          </w:p>
          <w:p w14:paraId="6AF3A435" w14:textId="77777777" w:rsidR="009A625A" w:rsidRDefault="009A625A" w:rsidP="00B856E9">
            <w:pPr>
              <w:pStyle w:val="TableText"/>
            </w:pPr>
            <w:r w:rsidRPr="009A625A">
              <w:t>Head of Midwifery</w:t>
            </w:r>
          </w:p>
          <w:p w14:paraId="589ACE06" w14:textId="77777777" w:rsidR="009A625A" w:rsidRDefault="009A625A" w:rsidP="00B856E9">
            <w:pPr>
              <w:pStyle w:val="TableText"/>
            </w:pPr>
          </w:p>
          <w:p w14:paraId="1AD40758" w14:textId="77777777" w:rsidR="009A625A" w:rsidRDefault="009A625A" w:rsidP="00B856E9">
            <w:pPr>
              <w:pStyle w:val="TableText"/>
            </w:pPr>
          </w:p>
          <w:p w14:paraId="6223C237" w14:textId="77777777" w:rsidR="009A625A" w:rsidRDefault="009A625A" w:rsidP="00B856E9">
            <w:pPr>
              <w:pStyle w:val="TableText"/>
            </w:pPr>
          </w:p>
          <w:p w14:paraId="560ACD39" w14:textId="77777777" w:rsidR="009A625A" w:rsidRDefault="009A625A" w:rsidP="00B856E9">
            <w:pPr>
              <w:pStyle w:val="TableText"/>
            </w:pPr>
          </w:p>
          <w:p w14:paraId="66C418E1" w14:textId="77777777" w:rsidR="009A625A" w:rsidRDefault="009A625A" w:rsidP="00B856E9">
            <w:pPr>
              <w:pStyle w:val="TableText"/>
            </w:pPr>
          </w:p>
          <w:p w14:paraId="706299A7" w14:textId="77777777" w:rsidR="009A625A" w:rsidRDefault="009A625A" w:rsidP="00B856E9">
            <w:pPr>
              <w:pStyle w:val="TableText"/>
            </w:pPr>
          </w:p>
          <w:p w14:paraId="3D2A9A84" w14:textId="77777777" w:rsidR="009A625A" w:rsidRDefault="009A625A" w:rsidP="00B856E9">
            <w:pPr>
              <w:pStyle w:val="TableText"/>
            </w:pPr>
          </w:p>
          <w:p w14:paraId="09985BFA" w14:textId="77777777" w:rsidR="009A625A" w:rsidRDefault="009A625A" w:rsidP="00B856E9">
            <w:pPr>
              <w:pStyle w:val="TableText"/>
            </w:pPr>
          </w:p>
          <w:p w14:paraId="6CF53ABC" w14:textId="58081BBA" w:rsidR="009A625A" w:rsidRPr="009D1CC6" w:rsidRDefault="009A625A" w:rsidP="00B856E9">
            <w:pPr>
              <w:pStyle w:val="TableText"/>
            </w:pPr>
            <w:r w:rsidRPr="009A625A">
              <w:t>Lead Nurse for Nutrition</w:t>
            </w:r>
          </w:p>
        </w:tc>
      </w:tr>
      <w:tr w:rsidR="00BB480F" w:rsidRPr="009D1CC6" w14:paraId="212B6E4D" w14:textId="77777777" w:rsidTr="00B856E9">
        <w:trPr>
          <w:cantSplit/>
          <w:trHeight w:val="1134"/>
        </w:trPr>
        <w:tc>
          <w:tcPr>
            <w:tcW w:w="1129" w:type="dxa"/>
            <w:vMerge/>
            <w:shd w:val="clear" w:color="auto" w:fill="BDDEFF" w:themeFill="accent1" w:themeFillTint="33"/>
          </w:tcPr>
          <w:p w14:paraId="727577A1" w14:textId="77777777" w:rsidR="00BB480F" w:rsidRPr="009D1CC6" w:rsidRDefault="00BB480F" w:rsidP="00B856E9">
            <w:pPr>
              <w:rPr>
                <w:rFonts w:cs="Arial"/>
              </w:rPr>
            </w:pPr>
          </w:p>
        </w:tc>
        <w:tc>
          <w:tcPr>
            <w:tcW w:w="3969" w:type="dxa"/>
            <w:shd w:val="clear" w:color="auto" w:fill="BDDEFF" w:themeFill="accent1" w:themeFillTint="33"/>
            <w:vAlign w:val="center"/>
          </w:tcPr>
          <w:p w14:paraId="1F7B4823" w14:textId="77777777" w:rsidR="00BB480F" w:rsidRPr="009D1CC6" w:rsidRDefault="00BB480F" w:rsidP="00B856E9">
            <w:pPr>
              <w:rPr>
                <w:rFonts w:cs="Arial"/>
              </w:rPr>
            </w:pPr>
            <w:r w:rsidRPr="009D1CC6">
              <w:rPr>
                <w:rFonts w:cs="Arial"/>
              </w:rPr>
              <w:t xml:space="preserve">1D: </w:t>
            </w:r>
            <w:r w:rsidRPr="009D1CC6">
              <w:rPr>
                <w:rFonts w:cs="Arial"/>
                <w:bCs/>
              </w:rPr>
              <w:t xml:space="preserve">Patients (service users) </w:t>
            </w:r>
            <w:r w:rsidRPr="009D1CC6">
              <w:rPr>
                <w:rFonts w:cs="Arial"/>
              </w:rPr>
              <w:t>report positive experiences of the service</w:t>
            </w:r>
          </w:p>
        </w:tc>
        <w:tc>
          <w:tcPr>
            <w:tcW w:w="5103" w:type="dxa"/>
          </w:tcPr>
          <w:p w14:paraId="14592C66"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ED:</w:t>
            </w:r>
          </w:p>
          <w:p w14:paraId="3C090D49" w14:textId="77777777" w:rsidR="001A1737" w:rsidRDefault="001A1737" w:rsidP="001A1737">
            <w:pPr>
              <w:pStyle w:val="xxmsonormal"/>
              <w:numPr>
                <w:ilvl w:val="0"/>
                <w:numId w:val="27"/>
              </w:numPr>
              <w:shd w:val="clear" w:color="auto" w:fill="FFFFFF"/>
              <w:spacing w:before="0" w:beforeAutospacing="0" w:after="0" w:afterAutospacing="0"/>
              <w:rPr>
                <w:rFonts w:ascii="Aptos" w:hAnsi="Aptos" w:cs="Segoe UI"/>
                <w:color w:val="242424"/>
              </w:rPr>
            </w:pPr>
            <w:r>
              <w:rPr>
                <w:rFonts w:ascii="Aptos" w:hAnsi="Aptos" w:cs="Segoe UI"/>
                <w:color w:val="242424"/>
              </w:rPr>
              <w:t>Regular communication updates during ED stay, senior nurse walkabouts.</w:t>
            </w:r>
          </w:p>
          <w:p w14:paraId="424F8741" w14:textId="77777777" w:rsidR="001A1737" w:rsidRDefault="001A1737" w:rsidP="001A1737">
            <w:pPr>
              <w:pStyle w:val="xxmsonormal"/>
              <w:numPr>
                <w:ilvl w:val="0"/>
                <w:numId w:val="27"/>
              </w:numPr>
              <w:shd w:val="clear" w:color="auto" w:fill="FFFFFF"/>
              <w:spacing w:before="0" w:beforeAutospacing="0" w:after="0" w:afterAutospacing="0"/>
              <w:rPr>
                <w:rFonts w:ascii="Aptos" w:hAnsi="Aptos" w:cs="Segoe UI"/>
                <w:color w:val="242424"/>
              </w:rPr>
            </w:pPr>
            <w:r>
              <w:rPr>
                <w:rFonts w:ascii="Aptos" w:hAnsi="Aptos" w:cs="Segoe UI"/>
                <w:color w:val="242424"/>
              </w:rPr>
              <w:t>FFT, Healthwatch feedback, complaints/concerns, and compliments captured.</w:t>
            </w:r>
            <w:r>
              <w:rPr>
                <w:rFonts w:ascii="Aptos" w:hAnsi="Aptos" w:cs="Segoe UI"/>
                <w:color w:val="242424"/>
              </w:rPr>
              <w:br/>
            </w:r>
            <w:r>
              <w:rPr>
                <w:rFonts w:ascii="Aptos" w:hAnsi="Aptos" w:cs="Segoe UI"/>
                <w:b/>
                <w:bCs/>
                <w:color w:val="242424"/>
              </w:rPr>
              <w:t>Evidence:</w:t>
            </w:r>
            <w:r>
              <w:rPr>
                <w:rFonts w:ascii="Aptos" w:hAnsi="Aptos" w:cs="Segoe UI"/>
                <w:color w:val="242424"/>
              </w:rPr>
              <w:t> National Inpatient Survey 2024 (99% kindness, 97% dignity/respect), FFT data, Healthwatch feedback.</w:t>
            </w:r>
          </w:p>
          <w:p w14:paraId="0004AB5F"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Maternity &amp; Neonatal Voices:</w:t>
            </w:r>
          </w:p>
          <w:p w14:paraId="4E2F1E6C" w14:textId="77777777" w:rsidR="001A1737" w:rsidRDefault="001A1737" w:rsidP="001A1737">
            <w:pPr>
              <w:pStyle w:val="xxmsonormal"/>
              <w:numPr>
                <w:ilvl w:val="0"/>
                <w:numId w:val="28"/>
              </w:numPr>
              <w:shd w:val="clear" w:color="auto" w:fill="FFFFFF"/>
              <w:spacing w:before="0" w:beforeAutospacing="0" w:after="0" w:afterAutospacing="0"/>
              <w:rPr>
                <w:rFonts w:ascii="Aptos" w:hAnsi="Aptos" w:cs="Segoe UI"/>
                <w:color w:val="242424"/>
              </w:rPr>
            </w:pPr>
            <w:r>
              <w:rPr>
                <w:rFonts w:ascii="Aptos" w:hAnsi="Aptos" w:cs="Segoe UI"/>
                <w:color w:val="242424"/>
              </w:rPr>
              <w:t>Feedback captured via Birthing Debriefs, Maternity Voices Network, FFT, and inpatient surveys.</w:t>
            </w:r>
          </w:p>
          <w:p w14:paraId="00AEF6F2" w14:textId="77777777" w:rsidR="001A1737" w:rsidRDefault="001A1737" w:rsidP="001A1737">
            <w:pPr>
              <w:pStyle w:val="xxmsonormal"/>
              <w:numPr>
                <w:ilvl w:val="0"/>
                <w:numId w:val="28"/>
              </w:numPr>
              <w:shd w:val="clear" w:color="auto" w:fill="FFFFFF"/>
              <w:spacing w:before="0" w:beforeAutospacing="0" w:after="0" w:afterAutospacing="0"/>
              <w:rPr>
                <w:rFonts w:ascii="Aptos" w:hAnsi="Aptos" w:cs="Segoe UI"/>
                <w:color w:val="242424"/>
              </w:rPr>
            </w:pPr>
            <w:r>
              <w:rPr>
                <w:rFonts w:ascii="Aptos" w:hAnsi="Aptos" w:cs="Segoe UI"/>
                <w:color w:val="242424"/>
              </w:rPr>
              <w:t>Cultural competency initiatives enhance patient experience.</w:t>
            </w:r>
            <w:r>
              <w:rPr>
                <w:rFonts w:ascii="Aptos" w:hAnsi="Aptos" w:cs="Segoe UI"/>
                <w:color w:val="242424"/>
              </w:rPr>
              <w:br/>
            </w:r>
            <w:r>
              <w:rPr>
                <w:rFonts w:ascii="Aptos" w:hAnsi="Aptos" w:cs="Segoe UI"/>
                <w:b/>
                <w:bCs/>
                <w:color w:val="242424"/>
              </w:rPr>
              <w:t>Evidence:</w:t>
            </w:r>
            <w:r>
              <w:rPr>
                <w:rFonts w:ascii="Aptos" w:hAnsi="Aptos" w:cs="Segoe UI"/>
                <w:color w:val="242424"/>
              </w:rPr>
              <w:t xml:space="preserve"> Feedback themes, survey </w:t>
            </w:r>
            <w:r>
              <w:rPr>
                <w:rFonts w:ascii="Aptos" w:hAnsi="Aptos" w:cs="Segoe UI"/>
                <w:color w:val="242424"/>
              </w:rPr>
              <w:lastRenderedPageBreak/>
              <w:t>results, qualitative patient stories, complaints resolution.</w:t>
            </w:r>
          </w:p>
          <w:p w14:paraId="53445DDB" w14:textId="77777777" w:rsidR="001A1737" w:rsidRDefault="001A1737" w:rsidP="001A1737">
            <w:pPr>
              <w:pStyle w:val="xxmsonormal"/>
              <w:shd w:val="clear" w:color="auto" w:fill="FFFFFF"/>
              <w:spacing w:before="0" w:beforeAutospacing="0" w:after="0" w:afterAutospacing="0"/>
              <w:rPr>
                <w:rFonts w:ascii="Aptos" w:hAnsi="Aptos"/>
                <w:color w:val="242424"/>
              </w:rPr>
            </w:pPr>
            <w:r>
              <w:rPr>
                <w:rFonts w:ascii="Aptos" w:hAnsi="Aptos"/>
                <w:b/>
                <w:bCs/>
                <w:color w:val="242424"/>
              </w:rPr>
              <w:t>Nutrition &amp; Hydration:</w:t>
            </w:r>
          </w:p>
          <w:p w14:paraId="00D18064" w14:textId="77777777" w:rsidR="001A1737" w:rsidRDefault="001A1737" w:rsidP="001A1737">
            <w:pPr>
              <w:pStyle w:val="xxmsonormal"/>
              <w:numPr>
                <w:ilvl w:val="0"/>
                <w:numId w:val="29"/>
              </w:numPr>
              <w:shd w:val="clear" w:color="auto" w:fill="FFFFFF"/>
              <w:spacing w:before="0" w:beforeAutospacing="0" w:after="0" w:afterAutospacing="0"/>
              <w:rPr>
                <w:rFonts w:ascii="Aptos" w:hAnsi="Aptos" w:cs="Segoe UI"/>
                <w:color w:val="242424"/>
              </w:rPr>
            </w:pPr>
            <w:r>
              <w:rPr>
                <w:rFonts w:ascii="Aptos" w:hAnsi="Aptos" w:cs="Segoe UI"/>
                <w:color w:val="242424"/>
              </w:rPr>
              <w:t>Patient feedback on mealtime experience, hydration, and nutrition care.</w:t>
            </w:r>
          </w:p>
          <w:p w14:paraId="00373581" w14:textId="77777777" w:rsidR="001A1737" w:rsidRDefault="001A1737" w:rsidP="001A1737">
            <w:pPr>
              <w:pStyle w:val="xxmsonormal"/>
              <w:numPr>
                <w:ilvl w:val="0"/>
                <w:numId w:val="29"/>
              </w:numPr>
              <w:shd w:val="clear" w:color="auto" w:fill="FFFFFF"/>
              <w:spacing w:before="0" w:beforeAutospacing="0" w:after="0" w:afterAutospacing="0"/>
              <w:rPr>
                <w:rFonts w:ascii="Aptos" w:hAnsi="Aptos" w:cs="Segoe UI"/>
                <w:color w:val="242424"/>
              </w:rPr>
            </w:pPr>
            <w:r>
              <w:rPr>
                <w:rFonts w:ascii="Aptos" w:hAnsi="Aptos" w:cs="Segoe UI"/>
                <w:color w:val="242424"/>
              </w:rPr>
              <w:t>Adjustments for dietary preferences, religious requirements, and individual support.</w:t>
            </w:r>
            <w:r>
              <w:rPr>
                <w:rFonts w:ascii="Aptos" w:hAnsi="Aptos" w:cs="Segoe UI"/>
                <w:color w:val="242424"/>
              </w:rPr>
              <w:br/>
            </w:r>
            <w:r>
              <w:rPr>
                <w:rFonts w:ascii="Aptos" w:hAnsi="Aptos" w:cs="Segoe UI"/>
                <w:b/>
                <w:bCs/>
                <w:color w:val="242424"/>
              </w:rPr>
              <w:t>Evidence:</w:t>
            </w:r>
            <w:r>
              <w:rPr>
                <w:rFonts w:ascii="Aptos" w:hAnsi="Aptos" w:cs="Segoe UI"/>
                <w:color w:val="242424"/>
              </w:rPr>
              <w:t> Inpatient survey, FFT, Healthwatch feedback, Mealtime Experience Audits</w:t>
            </w:r>
          </w:p>
          <w:p w14:paraId="578B28E0" w14:textId="77777777" w:rsidR="00BB480F" w:rsidRPr="009D1CC6" w:rsidRDefault="00BB480F" w:rsidP="00B856E9">
            <w:pPr>
              <w:pStyle w:val="TableText"/>
            </w:pPr>
          </w:p>
        </w:tc>
        <w:tc>
          <w:tcPr>
            <w:tcW w:w="1276" w:type="dxa"/>
          </w:tcPr>
          <w:p w14:paraId="10AC0221" w14:textId="5A212AF2" w:rsidR="00BB480F" w:rsidRPr="009D1CC6" w:rsidRDefault="001A1737" w:rsidP="001A1737">
            <w:pPr>
              <w:pStyle w:val="TableText"/>
              <w:jc w:val="center"/>
            </w:pPr>
            <w:r>
              <w:lastRenderedPageBreak/>
              <w:t>1.5</w:t>
            </w:r>
          </w:p>
        </w:tc>
        <w:tc>
          <w:tcPr>
            <w:tcW w:w="2471" w:type="dxa"/>
          </w:tcPr>
          <w:p w14:paraId="1E35D666" w14:textId="77777777" w:rsidR="00BB480F" w:rsidRDefault="009A625A" w:rsidP="00B856E9">
            <w:pPr>
              <w:pStyle w:val="TableText"/>
            </w:pPr>
            <w:r w:rsidRPr="009A625A">
              <w:t>Divisional Director of Operations/Divisional Director of Nursing/Associate Medical Director</w:t>
            </w:r>
          </w:p>
          <w:p w14:paraId="6236E223" w14:textId="77777777" w:rsidR="009A625A" w:rsidRDefault="009A625A" w:rsidP="00B856E9">
            <w:pPr>
              <w:pStyle w:val="TableText"/>
            </w:pPr>
          </w:p>
          <w:p w14:paraId="4AA53D61" w14:textId="77777777" w:rsidR="009A625A" w:rsidRDefault="009A625A" w:rsidP="00B856E9">
            <w:pPr>
              <w:pStyle w:val="TableText"/>
            </w:pPr>
          </w:p>
          <w:p w14:paraId="783F9D7F" w14:textId="77777777" w:rsidR="009A625A" w:rsidRDefault="009A625A" w:rsidP="00B856E9">
            <w:pPr>
              <w:pStyle w:val="TableText"/>
            </w:pPr>
          </w:p>
          <w:p w14:paraId="6744D4CE" w14:textId="77777777" w:rsidR="009A625A" w:rsidRDefault="009A625A" w:rsidP="00B856E9">
            <w:pPr>
              <w:pStyle w:val="TableText"/>
            </w:pPr>
          </w:p>
          <w:p w14:paraId="7B14A7E4" w14:textId="77777777" w:rsidR="009A625A" w:rsidRDefault="009A625A" w:rsidP="00B856E9">
            <w:pPr>
              <w:pStyle w:val="TableText"/>
            </w:pPr>
          </w:p>
          <w:p w14:paraId="2D081960" w14:textId="5AFBAD8C" w:rsidR="009A625A" w:rsidRDefault="009A625A" w:rsidP="00B856E9">
            <w:pPr>
              <w:pStyle w:val="TableText"/>
            </w:pPr>
            <w:r w:rsidRPr="009A625A">
              <w:t>Head of Midwifery</w:t>
            </w:r>
          </w:p>
          <w:p w14:paraId="135B7D1B" w14:textId="77777777" w:rsidR="009A625A" w:rsidRDefault="009A625A" w:rsidP="00B856E9">
            <w:pPr>
              <w:pStyle w:val="TableText"/>
            </w:pPr>
          </w:p>
          <w:p w14:paraId="4BB2009B" w14:textId="77777777" w:rsidR="009A625A" w:rsidRDefault="009A625A" w:rsidP="00B856E9">
            <w:pPr>
              <w:pStyle w:val="TableText"/>
            </w:pPr>
          </w:p>
          <w:p w14:paraId="39D10D5F" w14:textId="77777777" w:rsidR="009A625A" w:rsidRDefault="009A625A" w:rsidP="00B856E9">
            <w:pPr>
              <w:pStyle w:val="TableText"/>
            </w:pPr>
          </w:p>
          <w:p w14:paraId="5FED4B52" w14:textId="77777777" w:rsidR="009A625A" w:rsidRDefault="009A625A" w:rsidP="00B856E9">
            <w:pPr>
              <w:pStyle w:val="TableText"/>
            </w:pPr>
          </w:p>
          <w:p w14:paraId="7466B08A" w14:textId="77777777" w:rsidR="009A625A" w:rsidRDefault="009A625A" w:rsidP="00B856E9">
            <w:pPr>
              <w:pStyle w:val="TableText"/>
            </w:pPr>
          </w:p>
          <w:p w14:paraId="005342E5" w14:textId="77777777" w:rsidR="009A625A" w:rsidRDefault="009A625A" w:rsidP="00B856E9">
            <w:pPr>
              <w:pStyle w:val="TableText"/>
            </w:pPr>
          </w:p>
          <w:p w14:paraId="497EB577" w14:textId="77777777" w:rsidR="009A625A" w:rsidRDefault="009A625A" w:rsidP="00B856E9">
            <w:pPr>
              <w:pStyle w:val="TableText"/>
            </w:pPr>
          </w:p>
          <w:p w14:paraId="1F68A3C5" w14:textId="77777777" w:rsidR="009A625A" w:rsidRDefault="009A625A" w:rsidP="00B856E9">
            <w:pPr>
              <w:pStyle w:val="TableText"/>
            </w:pPr>
          </w:p>
          <w:p w14:paraId="4913BA28" w14:textId="77777777" w:rsidR="009A625A" w:rsidRDefault="009A625A" w:rsidP="00B856E9">
            <w:pPr>
              <w:pStyle w:val="TableText"/>
            </w:pPr>
          </w:p>
          <w:p w14:paraId="563BD04E" w14:textId="77777777" w:rsidR="009A625A" w:rsidRDefault="009A625A" w:rsidP="00B856E9">
            <w:pPr>
              <w:pStyle w:val="TableText"/>
            </w:pPr>
          </w:p>
          <w:p w14:paraId="086EF569" w14:textId="5C00DA4F" w:rsidR="009A625A" w:rsidRDefault="009A625A" w:rsidP="00B856E9">
            <w:pPr>
              <w:pStyle w:val="TableText"/>
            </w:pPr>
            <w:r w:rsidRPr="009A625A">
              <w:t>Lead Nurse for Nutrition</w:t>
            </w:r>
          </w:p>
          <w:p w14:paraId="31DA5CEB" w14:textId="1AC4F6FC" w:rsidR="009A625A" w:rsidRPr="009D1CC6" w:rsidRDefault="009A625A" w:rsidP="00B856E9">
            <w:pPr>
              <w:pStyle w:val="TableText"/>
            </w:pPr>
          </w:p>
        </w:tc>
      </w:tr>
      <w:tr w:rsidR="00BB480F" w:rsidRPr="009D1CC6" w14:paraId="5EEED75A" w14:textId="77777777" w:rsidTr="00B856E9">
        <w:tc>
          <w:tcPr>
            <w:tcW w:w="10201" w:type="dxa"/>
            <w:gridSpan w:val="3"/>
            <w:shd w:val="clear" w:color="auto" w:fill="BDDEFF" w:themeFill="accent1" w:themeFillTint="33"/>
          </w:tcPr>
          <w:p w14:paraId="1A334C07" w14:textId="77777777" w:rsidR="00BB480F" w:rsidRPr="009D1CC6" w:rsidRDefault="00BB480F" w:rsidP="00B856E9">
            <w:pPr>
              <w:rPr>
                <w:rFonts w:cs="Arial"/>
                <w:b/>
              </w:rPr>
            </w:pPr>
            <w:r w:rsidRPr="009D1CC6">
              <w:rPr>
                <w:rFonts w:cs="Arial"/>
                <w:b/>
              </w:rPr>
              <w:lastRenderedPageBreak/>
              <w:t>Domain 1: Commissioned or provided services overall rating</w:t>
            </w:r>
          </w:p>
        </w:tc>
        <w:tc>
          <w:tcPr>
            <w:tcW w:w="1276" w:type="dxa"/>
          </w:tcPr>
          <w:p w14:paraId="3CF86A08" w14:textId="4EC87DCF" w:rsidR="00BB480F" w:rsidRPr="009D1CC6" w:rsidRDefault="001A1737" w:rsidP="001A1737">
            <w:pPr>
              <w:pStyle w:val="TableText"/>
              <w:jc w:val="center"/>
            </w:pPr>
            <w:r>
              <w:t>8</w:t>
            </w:r>
          </w:p>
        </w:tc>
        <w:tc>
          <w:tcPr>
            <w:tcW w:w="2471" w:type="dxa"/>
            <w:shd w:val="clear" w:color="auto" w:fill="BDDEFF" w:themeFill="accent1" w:themeFillTint="33"/>
          </w:tcPr>
          <w:p w14:paraId="2108854E" w14:textId="77777777" w:rsidR="00BB480F" w:rsidRPr="009D1CC6" w:rsidRDefault="00BB480F" w:rsidP="00B856E9">
            <w:pPr>
              <w:pStyle w:val="TableText"/>
            </w:pPr>
          </w:p>
        </w:tc>
      </w:tr>
    </w:tbl>
    <w:p w14:paraId="0BC8859E" w14:textId="5935CABA" w:rsidR="00BB480F" w:rsidRPr="009D1CC6" w:rsidRDefault="00D174B9" w:rsidP="00DE33E9">
      <w:pPr>
        <w:pStyle w:val="Heading2"/>
      </w:pPr>
      <w:r>
        <w:t xml:space="preserve"> </w:t>
      </w:r>
    </w:p>
    <w:p w14:paraId="26BAC3C9" w14:textId="77777777" w:rsidR="00BB480F" w:rsidRPr="009D1CC6" w:rsidRDefault="00BB480F" w:rsidP="00BB480F">
      <w:r w:rsidRPr="009D1CC6">
        <w:br w:type="page"/>
      </w:r>
    </w:p>
    <w:p w14:paraId="65F5B123" w14:textId="77777777" w:rsidR="00BB480F" w:rsidRPr="009D1CC6" w:rsidRDefault="00BB480F" w:rsidP="00B856E9">
      <w:pPr>
        <w:pStyle w:val="Heading2"/>
      </w:pPr>
      <w:r w:rsidRPr="009D1CC6">
        <w:lastRenderedPageBreak/>
        <w:t>Domain 2: Workforce health and well-being</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18"/>
        <w:gridCol w:w="3612"/>
        <w:gridCol w:w="5310"/>
        <w:gridCol w:w="1110"/>
        <w:gridCol w:w="2446"/>
      </w:tblGrid>
      <w:tr w:rsidR="00900737" w:rsidRPr="009D1CC6" w14:paraId="07C75568" w14:textId="77777777" w:rsidTr="00B856E9">
        <w:tc>
          <w:tcPr>
            <w:tcW w:w="1129" w:type="dxa"/>
            <w:shd w:val="clear" w:color="auto" w:fill="BDDEFF" w:themeFill="accent1" w:themeFillTint="33"/>
          </w:tcPr>
          <w:p w14:paraId="1D99719F" w14:textId="77777777" w:rsidR="00BB480F" w:rsidRPr="009D1CC6" w:rsidRDefault="00BB480F" w:rsidP="00E33027">
            <w:pPr>
              <w:rPr>
                <w:rFonts w:cs="Arial"/>
                <w:b/>
              </w:rPr>
            </w:pPr>
            <w:r w:rsidRPr="009D1CC6">
              <w:rPr>
                <w:rFonts w:cs="Arial"/>
                <w:b/>
              </w:rPr>
              <w:t>Domain</w:t>
            </w:r>
          </w:p>
        </w:tc>
        <w:tc>
          <w:tcPr>
            <w:tcW w:w="3828" w:type="dxa"/>
            <w:shd w:val="clear" w:color="auto" w:fill="BDDEFF" w:themeFill="accent1" w:themeFillTint="33"/>
          </w:tcPr>
          <w:p w14:paraId="22A89570" w14:textId="77777777" w:rsidR="00BB480F" w:rsidRPr="009D1CC6" w:rsidRDefault="00BB480F" w:rsidP="00E33027">
            <w:pPr>
              <w:rPr>
                <w:rFonts w:cs="Arial"/>
                <w:b/>
              </w:rPr>
            </w:pPr>
            <w:r w:rsidRPr="009D1CC6">
              <w:rPr>
                <w:rFonts w:cs="Arial"/>
                <w:b/>
              </w:rPr>
              <w:t>Outcome</w:t>
            </w:r>
          </w:p>
        </w:tc>
        <w:tc>
          <w:tcPr>
            <w:tcW w:w="5386" w:type="dxa"/>
            <w:shd w:val="clear" w:color="auto" w:fill="BDDEFF" w:themeFill="accent1" w:themeFillTint="33"/>
          </w:tcPr>
          <w:p w14:paraId="3879B7C3" w14:textId="77777777" w:rsidR="00BB480F" w:rsidRPr="009D1CC6" w:rsidRDefault="00BB480F" w:rsidP="00E33027">
            <w:pPr>
              <w:rPr>
                <w:rFonts w:cs="Arial"/>
                <w:b/>
              </w:rPr>
            </w:pPr>
            <w:r w:rsidRPr="009D1CC6">
              <w:rPr>
                <w:rFonts w:cs="Arial"/>
                <w:b/>
              </w:rPr>
              <w:t xml:space="preserve">Evidence </w:t>
            </w:r>
          </w:p>
        </w:tc>
        <w:tc>
          <w:tcPr>
            <w:tcW w:w="1134" w:type="dxa"/>
            <w:shd w:val="clear" w:color="auto" w:fill="BDDEFF" w:themeFill="accent1" w:themeFillTint="33"/>
          </w:tcPr>
          <w:p w14:paraId="308B9805" w14:textId="77777777" w:rsidR="00BB480F" w:rsidRPr="009D1CC6" w:rsidRDefault="00BB480F" w:rsidP="00E33027">
            <w:pPr>
              <w:rPr>
                <w:rFonts w:cs="Arial"/>
                <w:b/>
              </w:rPr>
            </w:pPr>
            <w:r w:rsidRPr="009D1CC6">
              <w:rPr>
                <w:rFonts w:cs="Arial"/>
                <w:b/>
              </w:rPr>
              <w:t>Rating</w:t>
            </w:r>
          </w:p>
        </w:tc>
        <w:tc>
          <w:tcPr>
            <w:tcW w:w="2471" w:type="dxa"/>
            <w:shd w:val="clear" w:color="auto" w:fill="BDDEFF" w:themeFill="accent1" w:themeFillTint="33"/>
          </w:tcPr>
          <w:p w14:paraId="7653CC08" w14:textId="77777777" w:rsidR="00BB480F" w:rsidRPr="009D1CC6" w:rsidRDefault="00BB480F" w:rsidP="00E33027">
            <w:pPr>
              <w:rPr>
                <w:rFonts w:cs="Arial"/>
                <w:b/>
              </w:rPr>
            </w:pPr>
            <w:r w:rsidRPr="009D1CC6">
              <w:rPr>
                <w:rFonts w:cs="Arial"/>
                <w:b/>
              </w:rPr>
              <w:t>Owner (Dept/Lead)</w:t>
            </w:r>
          </w:p>
        </w:tc>
      </w:tr>
      <w:tr w:rsidR="00900737" w:rsidRPr="009D1CC6" w14:paraId="19B0A304" w14:textId="77777777" w:rsidTr="00B856E9">
        <w:trPr>
          <w:cantSplit/>
          <w:trHeight w:val="1247"/>
        </w:trPr>
        <w:tc>
          <w:tcPr>
            <w:tcW w:w="1129" w:type="dxa"/>
            <w:vMerge w:val="restart"/>
            <w:shd w:val="clear" w:color="auto" w:fill="BDDEFF" w:themeFill="accent1" w:themeFillTint="33"/>
            <w:textDirection w:val="btLr"/>
            <w:vAlign w:val="center"/>
          </w:tcPr>
          <w:p w14:paraId="05242C0F" w14:textId="77777777" w:rsidR="00BB480F" w:rsidRPr="009D1CC6" w:rsidRDefault="00BB480F" w:rsidP="00E33027">
            <w:pPr>
              <w:ind w:left="113" w:right="113"/>
              <w:jc w:val="center"/>
              <w:rPr>
                <w:rFonts w:cs="Arial"/>
                <w:b/>
                <w:i/>
              </w:rPr>
            </w:pPr>
            <w:bookmarkStart w:id="2" w:name="_Hlk211496245"/>
            <w:r w:rsidRPr="009D1CC6">
              <w:rPr>
                <w:rFonts w:cs="Arial"/>
                <w:b/>
                <w:i/>
              </w:rPr>
              <w:lastRenderedPageBreak/>
              <w:t xml:space="preserve">Domain 2: </w:t>
            </w:r>
          </w:p>
          <w:p w14:paraId="57BAF48B" w14:textId="77777777" w:rsidR="00BB480F" w:rsidRPr="009D1CC6" w:rsidRDefault="00BB480F" w:rsidP="00E33027">
            <w:pPr>
              <w:ind w:left="113" w:right="113"/>
              <w:jc w:val="center"/>
              <w:rPr>
                <w:rFonts w:cs="Arial"/>
                <w:b/>
                <w:i/>
              </w:rPr>
            </w:pPr>
            <w:r w:rsidRPr="009D1CC6">
              <w:rPr>
                <w:rFonts w:cs="Arial"/>
                <w:b/>
                <w:i/>
              </w:rPr>
              <w:t>Workforce health and well-being</w:t>
            </w:r>
          </w:p>
          <w:p w14:paraId="3A446212" w14:textId="77777777" w:rsidR="00BB480F" w:rsidRPr="009D1CC6" w:rsidRDefault="00BB480F" w:rsidP="00E33027">
            <w:pPr>
              <w:ind w:left="113" w:right="113"/>
              <w:jc w:val="center"/>
              <w:rPr>
                <w:rFonts w:cs="Arial"/>
              </w:rPr>
            </w:pPr>
          </w:p>
        </w:tc>
        <w:tc>
          <w:tcPr>
            <w:tcW w:w="3828" w:type="dxa"/>
            <w:shd w:val="clear" w:color="auto" w:fill="BDDEFF" w:themeFill="accent1" w:themeFillTint="33"/>
          </w:tcPr>
          <w:p w14:paraId="6C7323C1" w14:textId="77777777" w:rsidR="00BB480F" w:rsidRPr="009D1CC6" w:rsidRDefault="00BB480F" w:rsidP="00E33027">
            <w:pPr>
              <w:rPr>
                <w:rFonts w:cs="Arial"/>
              </w:rPr>
            </w:pPr>
            <w:r w:rsidRPr="009D1CC6">
              <w:rPr>
                <w:rFonts w:cs="Arial"/>
              </w:rPr>
              <w:t>2A: When at work, staff are provided with support to manage obesity, diabetes, asthma, COPD and mental health conditions</w:t>
            </w:r>
          </w:p>
        </w:tc>
        <w:tc>
          <w:tcPr>
            <w:tcW w:w="5386" w:type="dxa"/>
          </w:tcPr>
          <w:p w14:paraId="104FE647" w14:textId="77777777" w:rsidR="00944CDA" w:rsidRPr="00944CDA" w:rsidRDefault="003D77F0" w:rsidP="00210242">
            <w:pPr>
              <w:pStyle w:val="TableText"/>
              <w:numPr>
                <w:ilvl w:val="0"/>
                <w:numId w:val="7"/>
              </w:numPr>
              <w:rPr>
                <w:color w:val="FF0000"/>
              </w:rPr>
            </w:pPr>
            <w:r w:rsidRPr="00B621DA">
              <w:t xml:space="preserve">The </w:t>
            </w:r>
            <w:r w:rsidRPr="00B621DA">
              <w:rPr>
                <w:b/>
                <w:bCs/>
              </w:rPr>
              <w:t>EDI Awareness Calendar</w:t>
            </w:r>
            <w:r w:rsidRPr="00B621DA">
              <w:t xml:space="preserve"> (produced in January 2025</w:t>
            </w:r>
            <w:r>
              <w:t xml:space="preserve"> and developed in partnership with Health and Wellbeing </w:t>
            </w:r>
            <w:r w:rsidR="0006163F">
              <w:t>colleagues</w:t>
            </w:r>
            <w:r w:rsidRPr="00B621DA">
              <w:t>) included health</w:t>
            </w:r>
            <w:r>
              <w:t xml:space="preserve"> and well</w:t>
            </w:r>
            <w:r w:rsidRPr="00B621DA">
              <w:t xml:space="preserve">-focused events such as </w:t>
            </w:r>
            <w:r w:rsidRPr="00B621DA">
              <w:rPr>
                <w:b/>
                <w:bCs/>
              </w:rPr>
              <w:t>Diabetes Awareness Week</w:t>
            </w:r>
            <w:r w:rsidRPr="00B621DA">
              <w:t xml:space="preserve"> and </w:t>
            </w:r>
            <w:r w:rsidRPr="00B621DA">
              <w:rPr>
                <w:b/>
                <w:bCs/>
              </w:rPr>
              <w:t>Weight Management initiatives</w:t>
            </w:r>
            <w:r w:rsidRPr="00B621DA">
              <w:t>, helping to spotlight support available for staff with these conditions</w:t>
            </w:r>
            <w:r>
              <w:t xml:space="preserve">, and targeting specific health inequalities. The calendar of events is now available on the Staff intranet to increase visibility. </w:t>
            </w:r>
          </w:p>
          <w:p w14:paraId="084D5191" w14:textId="77777777" w:rsidR="00944CDA" w:rsidRPr="00944CDA" w:rsidRDefault="00944CDA" w:rsidP="00944CDA">
            <w:pPr>
              <w:pStyle w:val="TableText"/>
              <w:ind w:left="360"/>
              <w:rPr>
                <w:color w:val="FF0000"/>
              </w:rPr>
            </w:pPr>
          </w:p>
          <w:p w14:paraId="036E8B9D" w14:textId="4E7F9A51" w:rsidR="003D77F0" w:rsidRPr="00944CDA" w:rsidRDefault="00FE551C" w:rsidP="00210242">
            <w:pPr>
              <w:pStyle w:val="TableText"/>
              <w:numPr>
                <w:ilvl w:val="0"/>
                <w:numId w:val="7"/>
              </w:numPr>
              <w:rPr>
                <w:color w:val="auto"/>
              </w:rPr>
            </w:pPr>
            <w:r w:rsidRPr="00944CDA">
              <w:rPr>
                <w:color w:val="auto"/>
              </w:rPr>
              <w:t>The Trust provides internal delivery of Wellbeing Awareness and Prevention Workshops as well as Wellbeing events aligned to National and Local Campaigns. Over 39 workshops have been delivered to over 712 attendees and have included Mental Health First Aid, Wellbeing conversations, PERMA/Wellbeing and Personal Resilience. Over 893 staff have attended wellbeing events.</w:t>
            </w:r>
          </w:p>
          <w:p w14:paraId="4A71BC46" w14:textId="77777777" w:rsidR="001E38D9" w:rsidRDefault="001E38D9" w:rsidP="001E38D9">
            <w:pPr>
              <w:pStyle w:val="TableText"/>
              <w:ind w:left="360"/>
            </w:pPr>
          </w:p>
          <w:p w14:paraId="5911DB50" w14:textId="60A8EC31" w:rsidR="003D77F0" w:rsidRDefault="003D77F0" w:rsidP="00210242">
            <w:pPr>
              <w:pStyle w:val="TableText"/>
              <w:numPr>
                <w:ilvl w:val="0"/>
                <w:numId w:val="7"/>
              </w:numPr>
            </w:pPr>
            <w:r>
              <w:t xml:space="preserve">All events are promoted via the Trusts Staff networks with notable events in 2025 including the following. </w:t>
            </w:r>
          </w:p>
          <w:p w14:paraId="00F4E18E" w14:textId="0130E5ED" w:rsidR="00BB480F" w:rsidRDefault="00503A46" w:rsidP="00210242">
            <w:pPr>
              <w:pStyle w:val="TableText"/>
              <w:numPr>
                <w:ilvl w:val="1"/>
                <w:numId w:val="7"/>
              </w:numPr>
            </w:pPr>
            <w:r w:rsidRPr="00503A46">
              <w:t xml:space="preserve">The </w:t>
            </w:r>
            <w:r w:rsidRPr="003D77F0">
              <w:rPr>
                <w:b/>
                <w:bCs/>
              </w:rPr>
              <w:t>Diabetes Awareness Wellbeing Hub event</w:t>
            </w:r>
            <w:r w:rsidRPr="00503A46">
              <w:t xml:space="preserve"> held on </w:t>
            </w:r>
            <w:r w:rsidRPr="003D77F0">
              <w:rPr>
                <w:b/>
                <w:bCs/>
              </w:rPr>
              <w:t>12 June 2025</w:t>
            </w:r>
            <w:r w:rsidRPr="00503A46">
              <w:t xml:space="preserve"> focused on raising awareness among staff, particularly targeting marginalised groups</w:t>
            </w:r>
            <w:r w:rsidR="001E5254">
              <w:t xml:space="preserve"> - </w:t>
            </w:r>
            <w:r w:rsidR="001E5254" w:rsidRPr="001E5254">
              <w:t xml:space="preserve">this event </w:t>
            </w:r>
            <w:r w:rsidR="001E5254" w:rsidRPr="001E5254">
              <w:lastRenderedPageBreak/>
              <w:t>targeted BAME members of staff due to health inequalities increasing BAME communities to higher rates of Diabetes. The event provided diabetes risk checks, blood glucose checks, advice and signposting to support.</w:t>
            </w:r>
          </w:p>
          <w:p w14:paraId="5F6ADB41" w14:textId="614B677E" w:rsidR="001E5254" w:rsidRDefault="001E5254" w:rsidP="00210242">
            <w:pPr>
              <w:pStyle w:val="ListParagraph"/>
              <w:numPr>
                <w:ilvl w:val="1"/>
                <w:numId w:val="7"/>
              </w:numPr>
            </w:pPr>
            <w:r w:rsidRPr="001E5254">
              <w:rPr>
                <w:b/>
                <w:bCs/>
              </w:rPr>
              <w:t>The Know your numbers and blood pressure check</w:t>
            </w:r>
            <w:r w:rsidRPr="001E5254">
              <w:t xml:space="preserve"> wellbeing hub events </w:t>
            </w:r>
            <w:r w:rsidRPr="001E5254">
              <w:rPr>
                <w:b/>
                <w:bCs/>
              </w:rPr>
              <w:t>07th May 2025 and 18th September 2025</w:t>
            </w:r>
            <w:r w:rsidRPr="001E5254">
              <w:t>, blood pressure, AF, and body fat ratio checks provided to staff. Advice, digital weight loss programme referrals and free gym access vouchers provided to staff with high BMI levels.</w:t>
            </w:r>
          </w:p>
          <w:p w14:paraId="5AE4649B" w14:textId="77777777" w:rsidR="003D77F0" w:rsidRDefault="003D77F0" w:rsidP="00210242">
            <w:pPr>
              <w:pStyle w:val="TableText"/>
              <w:numPr>
                <w:ilvl w:val="1"/>
                <w:numId w:val="7"/>
              </w:numPr>
            </w:pPr>
            <w:r w:rsidRPr="001E5254">
              <w:rPr>
                <w:b/>
                <w:bCs/>
              </w:rPr>
              <w:t>The Spring into Summer Wellbeing Campaign</w:t>
            </w:r>
            <w:r w:rsidRPr="0071525F">
              <w:t xml:space="preserve"> featured </w:t>
            </w:r>
            <w:r>
              <w:t xml:space="preserve">coping with </w:t>
            </w:r>
            <w:r w:rsidRPr="0071525F">
              <w:t>mental health, physical wellbeing, and community connection.</w:t>
            </w:r>
            <w:r>
              <w:t xml:space="preserve"> This was communicated trust wide, printed and displayed for colleagues who don’t have regular access to multi-channel.</w:t>
            </w:r>
          </w:p>
          <w:p w14:paraId="3B498376" w14:textId="37B6D7F8" w:rsidR="003D77F0" w:rsidRDefault="003D77F0" w:rsidP="00210242">
            <w:pPr>
              <w:pStyle w:val="ListParagraph"/>
              <w:numPr>
                <w:ilvl w:val="1"/>
                <w:numId w:val="7"/>
              </w:numPr>
            </w:pPr>
            <w:r w:rsidRPr="00C57045">
              <w:rPr>
                <w:b/>
                <w:bCs/>
              </w:rPr>
              <w:t>The Trust is part of the NHS games</w:t>
            </w:r>
            <w:r w:rsidRPr="00C57045">
              <w:t xml:space="preserve"> and has seen </w:t>
            </w:r>
            <w:r>
              <w:t>increased</w:t>
            </w:r>
            <w:r w:rsidRPr="00C57045">
              <w:t xml:space="preserve"> numbers of engagement with activities this year, including the step challenge and sports day events.</w:t>
            </w:r>
          </w:p>
          <w:p w14:paraId="0BB64970" w14:textId="77777777" w:rsidR="00944CDA" w:rsidRDefault="00944CDA" w:rsidP="00944CDA">
            <w:pPr>
              <w:pStyle w:val="ListParagraph"/>
              <w:ind w:left="1080"/>
            </w:pPr>
          </w:p>
          <w:p w14:paraId="3F84785E" w14:textId="12DEA83D" w:rsidR="00FE551C" w:rsidRPr="00944CDA" w:rsidRDefault="00FE551C" w:rsidP="00210242">
            <w:pPr>
              <w:pStyle w:val="ListParagraph"/>
              <w:numPr>
                <w:ilvl w:val="0"/>
                <w:numId w:val="7"/>
              </w:numPr>
              <w:rPr>
                <w:color w:val="auto"/>
              </w:rPr>
            </w:pPr>
            <w:r w:rsidRPr="00944CDA">
              <w:rPr>
                <w:b/>
                <w:bCs/>
                <w:color w:val="auto"/>
              </w:rPr>
              <w:t>Support specific to Asthma /COPD</w:t>
            </w:r>
            <w:r w:rsidR="00944CDA" w:rsidRPr="00944CDA">
              <w:rPr>
                <w:b/>
                <w:bCs/>
                <w:color w:val="auto"/>
              </w:rPr>
              <w:t xml:space="preserve"> - </w:t>
            </w:r>
            <w:r w:rsidRPr="00944CDA">
              <w:rPr>
                <w:color w:val="auto"/>
              </w:rPr>
              <w:t xml:space="preserve">Staff pathway to access advice from our smoking </w:t>
            </w:r>
            <w:r w:rsidRPr="00944CDA">
              <w:rPr>
                <w:color w:val="auto"/>
              </w:rPr>
              <w:lastRenderedPageBreak/>
              <w:t>cessation team is available for staff, the pathway also includes referral and signposting into local stop smoking services which can provide Nicotine Replacement Therapy and support to quit.</w:t>
            </w:r>
            <w:r w:rsidR="00944CDA" w:rsidRPr="00944CDA">
              <w:rPr>
                <w:color w:val="auto"/>
              </w:rPr>
              <w:t xml:space="preserve"> </w:t>
            </w:r>
            <w:r w:rsidRPr="00944CDA">
              <w:rPr>
                <w:color w:val="auto"/>
              </w:rPr>
              <w:t xml:space="preserve">The wellbeing team and wellbeing hub provide support, information and resources for staff </w:t>
            </w:r>
            <w:proofErr w:type="gramStart"/>
            <w:r w:rsidRPr="00944CDA">
              <w:rPr>
                <w:color w:val="auto"/>
              </w:rPr>
              <w:t>including :</w:t>
            </w:r>
            <w:proofErr w:type="gramEnd"/>
            <w:r w:rsidRPr="00944CDA">
              <w:rPr>
                <w:color w:val="auto"/>
              </w:rPr>
              <w:t xml:space="preserve"> First steps to living with COPD, managing COPD and COPD self-management plan documents. Additional wellbeing hub resources available include self-help Asthma action plan tools and help and advice line cards provided by Asthma and Lung UK.</w:t>
            </w:r>
          </w:p>
          <w:p w14:paraId="05175102" w14:textId="77777777" w:rsidR="00944CDA" w:rsidRDefault="00944CDA" w:rsidP="00944CDA">
            <w:pPr>
              <w:rPr>
                <w:b/>
                <w:bCs/>
                <w:color w:val="FF0000"/>
              </w:rPr>
            </w:pPr>
          </w:p>
          <w:p w14:paraId="3C512758" w14:textId="3A97C538" w:rsidR="002A39AB" w:rsidRDefault="00FE551C" w:rsidP="00210242">
            <w:pPr>
              <w:pStyle w:val="ListParagraph"/>
              <w:numPr>
                <w:ilvl w:val="0"/>
                <w:numId w:val="7"/>
              </w:numPr>
              <w:rPr>
                <w:color w:val="auto"/>
              </w:rPr>
            </w:pPr>
            <w:r w:rsidRPr="00944CDA">
              <w:rPr>
                <w:b/>
                <w:bCs/>
                <w:color w:val="auto"/>
              </w:rPr>
              <w:t>Accessibility of Services</w:t>
            </w:r>
            <w:r w:rsidR="00944CDA" w:rsidRPr="00944CDA">
              <w:rPr>
                <w:b/>
                <w:bCs/>
                <w:color w:val="auto"/>
              </w:rPr>
              <w:t xml:space="preserve"> - </w:t>
            </w:r>
            <w:r w:rsidRPr="00944CDA">
              <w:rPr>
                <w:color w:val="auto"/>
              </w:rPr>
              <w:t>To support accessi</w:t>
            </w:r>
            <w:r w:rsidR="002A39AB" w:rsidRPr="00944CDA">
              <w:rPr>
                <w:color w:val="auto"/>
              </w:rPr>
              <w:t>bility of information the wellbeing service promotes events, support and resources through a variety of methods including through the staff intranet, displayed on screen within the wellbeing hub, through QR codes and offline versions of resources and tools, as well as providing hard copies of leaflets, posters and information within the wellbeing hub, information is also dispersed through the establishment of the wellbeing community – this practice ensures staff with limited access to the intranet during their working day are provided with greater accessibility to events and resources available at the trust.</w:t>
            </w:r>
            <w:r w:rsidR="00944CDA" w:rsidRPr="00944CDA">
              <w:rPr>
                <w:color w:val="auto"/>
              </w:rPr>
              <w:t xml:space="preserve"> </w:t>
            </w:r>
            <w:r w:rsidR="002A39AB" w:rsidRPr="00944CDA">
              <w:rPr>
                <w:color w:val="auto"/>
              </w:rPr>
              <w:t xml:space="preserve">Resources for key health conditions and information on national </w:t>
            </w:r>
            <w:r w:rsidR="002A39AB" w:rsidRPr="00944CDA">
              <w:rPr>
                <w:color w:val="auto"/>
              </w:rPr>
              <w:lastRenderedPageBreak/>
              <w:t>support services can also be made available in a range of languages – example Diabetes healthy living and eating well resources available in Hindi, Polish and Arabic, copies are available within the wellbeing hub or can be requested through the wellbeing team.</w:t>
            </w:r>
          </w:p>
          <w:p w14:paraId="3BC53848" w14:textId="77777777" w:rsidR="00944CDA" w:rsidRPr="00944CDA" w:rsidRDefault="00944CDA" w:rsidP="00944CDA">
            <w:pPr>
              <w:pStyle w:val="ListParagraph"/>
              <w:rPr>
                <w:color w:val="auto"/>
              </w:rPr>
            </w:pPr>
          </w:p>
          <w:p w14:paraId="00350A2B" w14:textId="0938ED1F" w:rsidR="002A39AB" w:rsidRPr="00900737" w:rsidRDefault="002A39AB" w:rsidP="00210242">
            <w:pPr>
              <w:pStyle w:val="ListParagraph"/>
              <w:numPr>
                <w:ilvl w:val="0"/>
                <w:numId w:val="7"/>
              </w:numPr>
              <w:rPr>
                <w:color w:val="auto"/>
              </w:rPr>
            </w:pPr>
            <w:r w:rsidRPr="00900737">
              <w:rPr>
                <w:color w:val="auto"/>
              </w:rPr>
              <w:t>Mental Health First Aid Training</w:t>
            </w:r>
            <w:r w:rsidR="00900737" w:rsidRPr="00900737">
              <w:rPr>
                <w:color w:val="auto"/>
              </w:rPr>
              <w:t xml:space="preserve"> - </w:t>
            </w:r>
            <w:r w:rsidRPr="00900737">
              <w:rPr>
                <w:color w:val="auto"/>
              </w:rPr>
              <w:t xml:space="preserve">Over the past year, our </w:t>
            </w:r>
            <w:proofErr w:type="gramStart"/>
            <w:r w:rsidRPr="00900737">
              <w:rPr>
                <w:color w:val="auto"/>
              </w:rPr>
              <w:t>in house</w:t>
            </w:r>
            <w:proofErr w:type="gramEnd"/>
            <w:r w:rsidRPr="00900737">
              <w:rPr>
                <w:color w:val="auto"/>
              </w:rPr>
              <w:t xml:space="preserve"> trainer has equipped 43 colleagues with Mental Health First Aid </w:t>
            </w:r>
            <w:proofErr w:type="spellStart"/>
            <w:proofErr w:type="gramStart"/>
            <w:r w:rsidRPr="00900737">
              <w:rPr>
                <w:color w:val="auto"/>
              </w:rPr>
              <w:t>skills.Training</w:t>
            </w:r>
            <w:proofErr w:type="spellEnd"/>
            <w:proofErr w:type="gramEnd"/>
            <w:r w:rsidRPr="00900737">
              <w:rPr>
                <w:color w:val="auto"/>
              </w:rPr>
              <w:t xml:space="preserve"> empowers staff </w:t>
            </w:r>
            <w:proofErr w:type="gramStart"/>
            <w:r w:rsidRPr="00900737">
              <w:rPr>
                <w:color w:val="auto"/>
              </w:rPr>
              <w:t>to :</w:t>
            </w:r>
            <w:proofErr w:type="gramEnd"/>
          </w:p>
          <w:p w14:paraId="2E9C9CD7" w14:textId="68629665" w:rsidR="002A39AB" w:rsidRPr="00900737" w:rsidRDefault="00665FA9" w:rsidP="00900737">
            <w:pPr>
              <w:pStyle w:val="ListParagraph"/>
              <w:ind w:left="360"/>
              <w:rPr>
                <w:color w:val="auto"/>
              </w:rPr>
            </w:pPr>
            <w:r w:rsidRPr="00900737">
              <w:rPr>
                <w:color w:val="auto"/>
              </w:rPr>
              <w:t>1. Recognise</w:t>
            </w:r>
            <w:r w:rsidR="002A39AB" w:rsidRPr="00900737">
              <w:rPr>
                <w:color w:val="auto"/>
              </w:rPr>
              <w:t xml:space="preserve"> signs of mental health challenges in themselves and others</w:t>
            </w:r>
          </w:p>
          <w:p w14:paraId="6980456A" w14:textId="6FF3F78E" w:rsidR="002A39AB" w:rsidRPr="00900737" w:rsidRDefault="002A39AB" w:rsidP="00900737">
            <w:pPr>
              <w:pStyle w:val="ListParagraph"/>
              <w:ind w:left="360"/>
              <w:rPr>
                <w:color w:val="auto"/>
              </w:rPr>
            </w:pPr>
            <w:r w:rsidRPr="00900737">
              <w:rPr>
                <w:color w:val="auto"/>
              </w:rPr>
              <w:t>2</w:t>
            </w:r>
            <w:r w:rsidR="00665FA9" w:rsidRPr="00900737">
              <w:rPr>
                <w:color w:val="auto"/>
              </w:rPr>
              <w:t xml:space="preserve">. </w:t>
            </w:r>
            <w:r w:rsidR="003722BA" w:rsidRPr="00900737">
              <w:rPr>
                <w:color w:val="auto"/>
              </w:rPr>
              <w:t>Offer initial support and guidance</w:t>
            </w:r>
          </w:p>
          <w:p w14:paraId="76A6CD4B" w14:textId="33D8A360" w:rsidR="003722BA" w:rsidRPr="00900737" w:rsidRDefault="003722BA" w:rsidP="00900737">
            <w:pPr>
              <w:pStyle w:val="ListParagraph"/>
              <w:ind w:left="360"/>
              <w:rPr>
                <w:color w:val="auto"/>
              </w:rPr>
            </w:pPr>
            <w:r w:rsidRPr="00900737">
              <w:rPr>
                <w:color w:val="auto"/>
              </w:rPr>
              <w:t>3.</w:t>
            </w:r>
            <w:r w:rsidR="00665FA9" w:rsidRPr="00900737">
              <w:rPr>
                <w:color w:val="auto"/>
              </w:rPr>
              <w:t xml:space="preserve"> </w:t>
            </w:r>
            <w:r w:rsidRPr="00900737">
              <w:rPr>
                <w:color w:val="auto"/>
              </w:rPr>
              <w:t>Signpost colleagues to appropriate professional help.</w:t>
            </w:r>
          </w:p>
          <w:p w14:paraId="3E01DBF4" w14:textId="77777777" w:rsidR="00900737" w:rsidRDefault="003722BA" w:rsidP="00900737">
            <w:pPr>
              <w:pStyle w:val="ListParagraph"/>
              <w:ind w:left="360"/>
              <w:rPr>
                <w:color w:val="auto"/>
              </w:rPr>
            </w:pPr>
            <w:r w:rsidRPr="00900737">
              <w:rPr>
                <w:color w:val="auto"/>
              </w:rPr>
              <w:t xml:space="preserve">4. </w:t>
            </w:r>
            <w:r w:rsidR="00665FA9" w:rsidRPr="00900737">
              <w:rPr>
                <w:color w:val="auto"/>
              </w:rPr>
              <w:t xml:space="preserve"> </w:t>
            </w:r>
            <w:r w:rsidRPr="00900737">
              <w:rPr>
                <w:color w:val="auto"/>
              </w:rPr>
              <w:t>Mental Health First Aiders help foster a culture of openness, support and wellbeing across the Trust.</w:t>
            </w:r>
          </w:p>
          <w:p w14:paraId="171516EF" w14:textId="62BE6A53" w:rsidR="003722BA" w:rsidRPr="00900737" w:rsidRDefault="003722BA" w:rsidP="00900737">
            <w:pPr>
              <w:pStyle w:val="ListParagraph"/>
              <w:ind w:left="360"/>
              <w:rPr>
                <w:color w:val="auto"/>
              </w:rPr>
            </w:pPr>
            <w:r w:rsidRPr="00900737">
              <w:rPr>
                <w:color w:val="auto"/>
              </w:rPr>
              <w:t>5.</w:t>
            </w:r>
            <w:r w:rsidR="00665FA9" w:rsidRPr="00900737">
              <w:rPr>
                <w:color w:val="auto"/>
              </w:rPr>
              <w:t xml:space="preserve"> </w:t>
            </w:r>
            <w:r w:rsidRPr="00900737">
              <w:rPr>
                <w:color w:val="auto"/>
              </w:rPr>
              <w:t>This initiative strengthens our commitment to staff wellbeing and ensures help is available when it is needed most.</w:t>
            </w:r>
          </w:p>
          <w:p w14:paraId="00B6B2AF" w14:textId="77777777" w:rsidR="003D77F0" w:rsidRDefault="003D77F0" w:rsidP="00432559"/>
          <w:p w14:paraId="3811687E" w14:textId="5FAB6139" w:rsidR="00B621DA" w:rsidRDefault="00B621DA" w:rsidP="00210242">
            <w:pPr>
              <w:pStyle w:val="TableText"/>
              <w:numPr>
                <w:ilvl w:val="0"/>
                <w:numId w:val="7"/>
              </w:numPr>
            </w:pPr>
            <w:r w:rsidRPr="00B621DA">
              <w:t xml:space="preserve">The staff intranet also provides a wide range of self-help resources, videos and signposting materials for staff to access which will support the management of the key health conditions and general wellbeing. These include resources around weight management, healthy eating, reducing alcohol consumption, looking after mental </w:t>
            </w:r>
            <w:r w:rsidRPr="00B621DA">
              <w:lastRenderedPageBreak/>
              <w:t>health, staying physically active and how good sleep.</w:t>
            </w:r>
          </w:p>
          <w:p w14:paraId="49D875A8" w14:textId="77777777" w:rsidR="001E38D9" w:rsidRDefault="001E38D9" w:rsidP="001E38D9">
            <w:pPr>
              <w:pStyle w:val="TableText"/>
              <w:ind w:left="360"/>
            </w:pPr>
          </w:p>
          <w:p w14:paraId="74B23577" w14:textId="1F463A09" w:rsidR="001E38D9" w:rsidRDefault="003D77F0" w:rsidP="00210242">
            <w:pPr>
              <w:pStyle w:val="TableText"/>
              <w:numPr>
                <w:ilvl w:val="0"/>
                <w:numId w:val="7"/>
              </w:numPr>
            </w:pPr>
            <w:r>
              <w:t xml:space="preserve">The Trust continues to commission an Employee Assistance Programme, providing all staff with access to a range of resources and support including counselling and wider Mental health and wellbeing support. </w:t>
            </w:r>
          </w:p>
          <w:p w14:paraId="794C1BB0" w14:textId="77777777" w:rsidR="001E38D9" w:rsidRDefault="001E38D9" w:rsidP="001E38D9">
            <w:pPr>
              <w:pStyle w:val="TableText"/>
              <w:ind w:left="360"/>
            </w:pPr>
          </w:p>
          <w:p w14:paraId="210DB619" w14:textId="2C135A66" w:rsidR="003D77F0" w:rsidRDefault="003D77F0" w:rsidP="00210242">
            <w:pPr>
              <w:pStyle w:val="TableText"/>
              <w:numPr>
                <w:ilvl w:val="0"/>
                <w:numId w:val="7"/>
              </w:numPr>
            </w:pPr>
            <w:r>
              <w:t xml:space="preserve">In 2025, the Trust has launched Stream, a financial wellbeing tool, further supporting staff to manage their finances. </w:t>
            </w:r>
          </w:p>
          <w:p w14:paraId="71163BAA" w14:textId="77777777" w:rsidR="001E38D9" w:rsidRDefault="001E38D9" w:rsidP="001E38D9">
            <w:pPr>
              <w:pStyle w:val="TableText"/>
            </w:pPr>
          </w:p>
          <w:p w14:paraId="2B2530F9" w14:textId="77777777" w:rsidR="001E38D9" w:rsidRDefault="00B621DA" w:rsidP="00210242">
            <w:pPr>
              <w:pStyle w:val="TableText"/>
              <w:numPr>
                <w:ilvl w:val="0"/>
                <w:numId w:val="7"/>
              </w:numPr>
            </w:pPr>
            <w:r w:rsidRPr="00B621DA">
              <w:t xml:space="preserve">Mental health support is embedded in the </w:t>
            </w:r>
            <w:r w:rsidRPr="00B621DA">
              <w:rPr>
                <w:b/>
                <w:bCs/>
              </w:rPr>
              <w:t>Staff Network activities</w:t>
            </w:r>
            <w:r w:rsidRPr="00B621DA">
              <w:t xml:space="preserve">, such as ENABLED’s Mental Health Day event held </w:t>
            </w:r>
            <w:r>
              <w:t>in October 2025</w:t>
            </w:r>
            <w:r w:rsidR="00B17AC7">
              <w:t>, this was attended by 22 members</w:t>
            </w:r>
            <w:r w:rsidR="000248C6">
              <w:t xml:space="preserve"> including the executive sponsor</w:t>
            </w:r>
            <w:r w:rsidRPr="00B621DA">
              <w:t>.</w:t>
            </w:r>
          </w:p>
          <w:p w14:paraId="051E15D9" w14:textId="77777777" w:rsidR="001E38D9" w:rsidRDefault="001E38D9" w:rsidP="001E38D9">
            <w:pPr>
              <w:pStyle w:val="TableText"/>
            </w:pPr>
          </w:p>
          <w:p w14:paraId="305DE7D9" w14:textId="135125D6" w:rsidR="00B621DA" w:rsidRDefault="001E5254" w:rsidP="00210242">
            <w:pPr>
              <w:pStyle w:val="TableText"/>
              <w:numPr>
                <w:ilvl w:val="0"/>
                <w:numId w:val="7"/>
              </w:numPr>
            </w:pPr>
            <w:r w:rsidRPr="001E5254">
              <w:t>Mental health awareness sessions and wellbeing workshops are now a part of nurse, HCA inductions and Foundation doctors training programme, as well as Allied health professional preceptorships.</w:t>
            </w:r>
          </w:p>
          <w:p w14:paraId="536D97EB" w14:textId="77777777" w:rsidR="001E38D9" w:rsidRDefault="001E38D9" w:rsidP="001E38D9">
            <w:pPr>
              <w:pStyle w:val="TableText"/>
            </w:pPr>
          </w:p>
          <w:p w14:paraId="620B070C" w14:textId="77777777" w:rsidR="00B621DA" w:rsidRDefault="00B621DA" w:rsidP="00210242">
            <w:pPr>
              <w:pStyle w:val="TableText"/>
              <w:numPr>
                <w:ilvl w:val="0"/>
                <w:numId w:val="7"/>
              </w:numPr>
            </w:pPr>
            <w:r w:rsidRPr="00B621DA">
              <w:t xml:space="preserve">The Trust’s </w:t>
            </w:r>
            <w:r w:rsidRPr="00B621DA">
              <w:rPr>
                <w:b/>
                <w:bCs/>
              </w:rPr>
              <w:t>Civility Statement</w:t>
            </w:r>
            <w:r w:rsidRPr="00B621DA">
              <w:t xml:space="preserve"> and EDI communications reinforce a culture of kindness and psychological safety.</w:t>
            </w:r>
          </w:p>
          <w:p w14:paraId="6C8CB33D" w14:textId="77777777" w:rsidR="003448B9" w:rsidRDefault="003448B9" w:rsidP="003448B9">
            <w:pPr>
              <w:pStyle w:val="ListParagraph"/>
            </w:pPr>
          </w:p>
          <w:p w14:paraId="6680D7C2" w14:textId="77777777" w:rsidR="00757868" w:rsidRDefault="00757868" w:rsidP="00757868">
            <w:pPr>
              <w:pStyle w:val="ListParagraph"/>
            </w:pPr>
          </w:p>
          <w:p w14:paraId="7BA4086F" w14:textId="03519836" w:rsidR="00757868" w:rsidRPr="00432559" w:rsidRDefault="00757868" w:rsidP="00210242">
            <w:pPr>
              <w:pStyle w:val="TableText"/>
              <w:numPr>
                <w:ilvl w:val="0"/>
                <w:numId w:val="7"/>
              </w:numPr>
              <w:rPr>
                <w:color w:val="auto"/>
              </w:rPr>
            </w:pPr>
            <w:r w:rsidRPr="00432559">
              <w:rPr>
                <w:b/>
                <w:bCs/>
                <w:color w:val="auto"/>
              </w:rPr>
              <w:lastRenderedPageBreak/>
              <w:t>Flexible Working</w:t>
            </w:r>
            <w:r w:rsidR="00432559" w:rsidRPr="00432559">
              <w:rPr>
                <w:b/>
                <w:bCs/>
                <w:color w:val="auto"/>
              </w:rPr>
              <w:t xml:space="preserve"> - </w:t>
            </w:r>
            <w:r w:rsidRPr="00432559">
              <w:rPr>
                <w:color w:val="auto"/>
              </w:rPr>
              <w:t>A new approach introduced in Sept 25 (new policy and electronic process, enabling monitoring to ensure staff with LTC have access to Flexible Working and equity of access across other protected characteristics</w:t>
            </w:r>
            <w:proofErr w:type="gramStart"/>
            <w:r w:rsidRPr="00432559">
              <w:rPr>
                <w:color w:val="auto"/>
              </w:rPr>
              <w:t>. .</w:t>
            </w:r>
            <w:proofErr w:type="gramEnd"/>
            <w:r w:rsidRPr="00432559">
              <w:rPr>
                <w:color w:val="auto"/>
              </w:rPr>
              <w:t xml:space="preserve">  </w:t>
            </w:r>
          </w:p>
          <w:p w14:paraId="5EE48A4D" w14:textId="77777777" w:rsidR="00757868" w:rsidRPr="00432559" w:rsidRDefault="00757868" w:rsidP="00210242">
            <w:pPr>
              <w:pStyle w:val="TableText"/>
              <w:numPr>
                <w:ilvl w:val="1"/>
                <w:numId w:val="7"/>
              </w:numPr>
              <w:rPr>
                <w:color w:val="auto"/>
              </w:rPr>
            </w:pPr>
            <w:r w:rsidRPr="00432559">
              <w:rPr>
                <w:color w:val="auto"/>
              </w:rPr>
              <w:t xml:space="preserve">498 requests since the launch of the process in Sept 25, with opportunity for equity monitoring from early 2026. </w:t>
            </w:r>
          </w:p>
          <w:p w14:paraId="009A8F1B" w14:textId="54B79C6B" w:rsidR="00757868" w:rsidRDefault="00757868" w:rsidP="00210242">
            <w:pPr>
              <w:pStyle w:val="TableText"/>
              <w:numPr>
                <w:ilvl w:val="1"/>
                <w:numId w:val="7"/>
              </w:numPr>
              <w:rPr>
                <w:color w:val="auto"/>
              </w:rPr>
            </w:pPr>
            <w:r w:rsidRPr="00432559">
              <w:rPr>
                <w:color w:val="auto"/>
              </w:rPr>
              <w:t>Line Managers have been developed to promote and embed strengthened flexible working options through workshops, managers guidance, with particular focus on utilising the range of options to support staff who may require reasonable adjustments for long term conditions</w:t>
            </w:r>
            <w:r w:rsidR="00D55881" w:rsidRPr="00432559">
              <w:rPr>
                <w:color w:val="auto"/>
              </w:rPr>
              <w:t>.</w:t>
            </w:r>
          </w:p>
          <w:p w14:paraId="0AF7EA89" w14:textId="77777777" w:rsidR="00432559" w:rsidRPr="00432559" w:rsidRDefault="00432559" w:rsidP="00432559">
            <w:pPr>
              <w:pStyle w:val="TableText"/>
              <w:ind w:left="1080"/>
              <w:rPr>
                <w:color w:val="auto"/>
              </w:rPr>
            </w:pPr>
          </w:p>
          <w:p w14:paraId="49CBF1E5" w14:textId="27F51F59" w:rsidR="009609CE" w:rsidRPr="00432559" w:rsidRDefault="009609CE" w:rsidP="00210242">
            <w:pPr>
              <w:pStyle w:val="TableText"/>
              <w:numPr>
                <w:ilvl w:val="0"/>
                <w:numId w:val="7"/>
              </w:numPr>
              <w:rPr>
                <w:color w:val="auto"/>
              </w:rPr>
            </w:pPr>
            <w:r w:rsidRPr="00432559">
              <w:rPr>
                <w:b/>
                <w:bCs/>
                <w:color w:val="auto"/>
              </w:rPr>
              <w:t xml:space="preserve">Use of ESR data </w:t>
            </w:r>
            <w:r w:rsidR="00432559" w:rsidRPr="00432559">
              <w:rPr>
                <w:b/>
                <w:bCs/>
                <w:color w:val="auto"/>
              </w:rPr>
              <w:t xml:space="preserve">- </w:t>
            </w:r>
            <w:r w:rsidRPr="00432559">
              <w:rPr>
                <w:color w:val="auto"/>
              </w:rPr>
              <w:t xml:space="preserve">High Trust reporting of protected characteristics, enables targeted activity and communications, with opportunity for more robust data analysis by protected characteristic. </w:t>
            </w:r>
            <w:r w:rsidR="00432559">
              <w:rPr>
                <w:color w:val="auto"/>
              </w:rPr>
              <w:t xml:space="preserve">Targeted activity in 2025 has included the following. </w:t>
            </w:r>
          </w:p>
          <w:p w14:paraId="4E1B4B82" w14:textId="77777777" w:rsidR="009609CE" w:rsidRPr="00432559" w:rsidRDefault="009609CE" w:rsidP="00210242">
            <w:pPr>
              <w:pStyle w:val="TableText"/>
              <w:numPr>
                <w:ilvl w:val="1"/>
                <w:numId w:val="7"/>
              </w:numPr>
              <w:rPr>
                <w:color w:val="auto"/>
              </w:rPr>
            </w:pPr>
            <w:r w:rsidRPr="00432559">
              <w:rPr>
                <w:b/>
                <w:bCs/>
                <w:color w:val="auto"/>
              </w:rPr>
              <w:t>Health &amp; Wellbeing:</w:t>
            </w:r>
            <w:r w:rsidRPr="00432559">
              <w:rPr>
                <w:color w:val="auto"/>
              </w:rPr>
              <w:t xml:space="preserve"> We use ESR data to ensure health checks, wellbeing events, and reasonable adjustments are accessible to all, with a focus on groups at higher risk (e.g. BAME staff, disabled staff).</w:t>
            </w:r>
          </w:p>
          <w:p w14:paraId="082C8CBA" w14:textId="77777777" w:rsidR="009609CE" w:rsidRPr="00432559" w:rsidRDefault="009609CE" w:rsidP="00210242">
            <w:pPr>
              <w:pStyle w:val="TableText"/>
              <w:numPr>
                <w:ilvl w:val="1"/>
                <w:numId w:val="7"/>
              </w:numPr>
              <w:rPr>
                <w:color w:val="auto"/>
              </w:rPr>
            </w:pPr>
            <w:r w:rsidRPr="00432559">
              <w:rPr>
                <w:b/>
                <w:bCs/>
                <w:color w:val="auto"/>
              </w:rPr>
              <w:lastRenderedPageBreak/>
              <w:t>Staff Networks:</w:t>
            </w:r>
            <w:r w:rsidRPr="00432559">
              <w:rPr>
                <w:color w:val="auto"/>
              </w:rPr>
              <w:t xml:space="preserve"> Data informs the development and promotion of staff networks (BAME, LGBTQ+, Women, Carers, Faith &amp; Belief, Enabled) to provide tailored support and safe spaces.</w:t>
            </w:r>
          </w:p>
          <w:p w14:paraId="301F6E86" w14:textId="77777777" w:rsidR="009609CE" w:rsidRDefault="009609CE" w:rsidP="00210242">
            <w:pPr>
              <w:pStyle w:val="TableText"/>
              <w:numPr>
                <w:ilvl w:val="1"/>
                <w:numId w:val="7"/>
              </w:numPr>
              <w:rPr>
                <w:color w:val="auto"/>
              </w:rPr>
            </w:pPr>
            <w:r w:rsidRPr="00432559">
              <w:rPr>
                <w:b/>
                <w:bCs/>
                <w:color w:val="auto"/>
              </w:rPr>
              <w:t>Reasonable Adjustments:</w:t>
            </w:r>
            <w:r w:rsidRPr="00432559">
              <w:rPr>
                <w:color w:val="auto"/>
              </w:rPr>
              <w:t xml:space="preserve"> ESR data tracks the proportion of disabled staff receiving adjustments (currently 74.48% report adjustments have been made), guiding further improvements.</w:t>
            </w:r>
          </w:p>
          <w:p w14:paraId="40DFD1F0" w14:textId="2E97648F" w:rsidR="009609CE" w:rsidRPr="009609CE" w:rsidRDefault="009609CE" w:rsidP="00432559">
            <w:pPr>
              <w:pStyle w:val="TableText"/>
              <w:rPr>
                <w:color w:val="FF0000"/>
              </w:rPr>
            </w:pPr>
            <w:r w:rsidRPr="009609CE">
              <w:rPr>
                <w:color w:val="FF0000"/>
              </w:rPr>
              <w:t>.</w:t>
            </w:r>
          </w:p>
          <w:p w14:paraId="11ECFBD8" w14:textId="77777777" w:rsidR="009609CE" w:rsidRPr="009609CE" w:rsidRDefault="009609CE" w:rsidP="009609CE">
            <w:pPr>
              <w:pStyle w:val="TableText"/>
              <w:ind w:left="360"/>
              <w:rPr>
                <w:color w:val="FF0000"/>
              </w:rPr>
            </w:pPr>
          </w:p>
          <w:p w14:paraId="609055CE" w14:textId="77777777" w:rsidR="00757868" w:rsidRPr="00757868" w:rsidRDefault="00757868" w:rsidP="00D55881">
            <w:pPr>
              <w:pStyle w:val="TableText"/>
            </w:pPr>
          </w:p>
          <w:p w14:paraId="146256CA" w14:textId="77777777" w:rsidR="00757868" w:rsidRDefault="00757868" w:rsidP="00D55881">
            <w:pPr>
              <w:pStyle w:val="TableText"/>
              <w:ind w:left="360"/>
            </w:pPr>
          </w:p>
          <w:p w14:paraId="182F8D70" w14:textId="1DCB2A20" w:rsidR="003D77F0" w:rsidRPr="009D1CC6" w:rsidRDefault="003D77F0" w:rsidP="003D77F0">
            <w:pPr>
              <w:pStyle w:val="TableText"/>
            </w:pPr>
          </w:p>
        </w:tc>
        <w:tc>
          <w:tcPr>
            <w:tcW w:w="1134" w:type="dxa"/>
          </w:tcPr>
          <w:p w14:paraId="7351D1EF" w14:textId="02BC9153" w:rsidR="00BB480F" w:rsidRPr="009D1CC6" w:rsidRDefault="001E38D9" w:rsidP="001E38D9">
            <w:pPr>
              <w:pStyle w:val="TableText"/>
              <w:jc w:val="center"/>
            </w:pPr>
            <w:r>
              <w:lastRenderedPageBreak/>
              <w:t>2</w:t>
            </w:r>
          </w:p>
        </w:tc>
        <w:tc>
          <w:tcPr>
            <w:tcW w:w="2471" w:type="dxa"/>
          </w:tcPr>
          <w:p w14:paraId="1EDAC5DA" w14:textId="0FC79AEC" w:rsidR="00BB480F" w:rsidRDefault="00900737" w:rsidP="0087548A">
            <w:pPr>
              <w:pStyle w:val="TableText"/>
            </w:pPr>
            <w:r>
              <w:t>Staff Experience and OD Coordinator - Inclusion</w:t>
            </w:r>
            <w:r w:rsidR="008F4EE4">
              <w:t>/Wellbeing Lead</w:t>
            </w:r>
          </w:p>
          <w:p w14:paraId="6FA61B0B" w14:textId="77777777" w:rsidR="008F4EE4" w:rsidRDefault="008F4EE4" w:rsidP="0087548A">
            <w:pPr>
              <w:pStyle w:val="TableText"/>
            </w:pPr>
          </w:p>
          <w:p w14:paraId="527E5CE0" w14:textId="64ACE8DC" w:rsidR="008F4EE4" w:rsidRDefault="008F4EE4" w:rsidP="0087548A">
            <w:pPr>
              <w:pStyle w:val="TableText"/>
            </w:pPr>
          </w:p>
          <w:p w14:paraId="34E3D085" w14:textId="77777777" w:rsidR="008F4EE4" w:rsidRDefault="008F4EE4" w:rsidP="0087548A">
            <w:pPr>
              <w:pStyle w:val="TableText"/>
            </w:pPr>
          </w:p>
          <w:p w14:paraId="328BBBDD" w14:textId="77777777" w:rsidR="008F4EE4" w:rsidRDefault="008F4EE4" w:rsidP="0087548A">
            <w:pPr>
              <w:pStyle w:val="TableText"/>
            </w:pPr>
          </w:p>
          <w:p w14:paraId="06897174" w14:textId="77777777" w:rsidR="008F4EE4" w:rsidRDefault="008F4EE4" w:rsidP="0087548A">
            <w:pPr>
              <w:pStyle w:val="TableText"/>
            </w:pPr>
          </w:p>
          <w:p w14:paraId="39A52DB2" w14:textId="77777777" w:rsidR="008F4EE4" w:rsidRDefault="008F4EE4" w:rsidP="0087548A">
            <w:pPr>
              <w:pStyle w:val="TableText"/>
            </w:pPr>
          </w:p>
          <w:p w14:paraId="4C9A551A" w14:textId="77777777" w:rsidR="008F4EE4" w:rsidRDefault="008F4EE4" w:rsidP="0087548A">
            <w:pPr>
              <w:pStyle w:val="TableText"/>
            </w:pPr>
          </w:p>
          <w:p w14:paraId="0BE03B89" w14:textId="77777777" w:rsidR="008F4EE4" w:rsidRDefault="008F4EE4" w:rsidP="0087548A">
            <w:pPr>
              <w:pStyle w:val="TableText"/>
            </w:pPr>
          </w:p>
          <w:p w14:paraId="39AC1654" w14:textId="77777777" w:rsidR="008F4EE4" w:rsidRDefault="008F4EE4" w:rsidP="0087548A">
            <w:pPr>
              <w:pStyle w:val="TableText"/>
            </w:pPr>
          </w:p>
          <w:p w14:paraId="52B920FD" w14:textId="77777777" w:rsidR="00944CDA" w:rsidRDefault="00944CDA" w:rsidP="0087548A">
            <w:pPr>
              <w:pStyle w:val="TableText"/>
            </w:pPr>
          </w:p>
          <w:p w14:paraId="01262E17" w14:textId="77777777" w:rsidR="00944CDA" w:rsidRDefault="00944CDA" w:rsidP="0087548A">
            <w:pPr>
              <w:pStyle w:val="TableText"/>
            </w:pPr>
          </w:p>
          <w:p w14:paraId="6F70E9DB" w14:textId="77777777" w:rsidR="00944CDA" w:rsidRDefault="00944CDA" w:rsidP="0087548A">
            <w:pPr>
              <w:pStyle w:val="TableText"/>
            </w:pPr>
          </w:p>
          <w:p w14:paraId="4A310933" w14:textId="77777777" w:rsidR="00944CDA" w:rsidRDefault="00944CDA" w:rsidP="0087548A">
            <w:pPr>
              <w:pStyle w:val="TableText"/>
            </w:pPr>
          </w:p>
          <w:p w14:paraId="5315581E" w14:textId="77777777" w:rsidR="00944CDA" w:rsidRDefault="00944CDA" w:rsidP="0087548A">
            <w:pPr>
              <w:pStyle w:val="TableText"/>
            </w:pPr>
          </w:p>
          <w:p w14:paraId="0B32CF05" w14:textId="77777777" w:rsidR="00944CDA" w:rsidRDefault="00944CDA" w:rsidP="0087548A">
            <w:pPr>
              <w:pStyle w:val="TableText"/>
            </w:pPr>
          </w:p>
          <w:p w14:paraId="5AE4B5F4" w14:textId="77777777" w:rsidR="00944CDA" w:rsidRDefault="00944CDA" w:rsidP="0087548A">
            <w:pPr>
              <w:pStyle w:val="TableText"/>
            </w:pPr>
          </w:p>
          <w:p w14:paraId="554714A1" w14:textId="77777777" w:rsidR="00944CDA" w:rsidRDefault="00944CDA" w:rsidP="0087548A">
            <w:pPr>
              <w:pStyle w:val="TableText"/>
            </w:pPr>
          </w:p>
          <w:p w14:paraId="754DB5C4" w14:textId="77777777" w:rsidR="00944CDA" w:rsidRDefault="00944CDA" w:rsidP="0087548A">
            <w:pPr>
              <w:pStyle w:val="TableText"/>
            </w:pPr>
          </w:p>
          <w:p w14:paraId="5FE4B1BA" w14:textId="77777777" w:rsidR="00944CDA" w:rsidRDefault="00944CDA" w:rsidP="0087548A">
            <w:pPr>
              <w:pStyle w:val="TableText"/>
            </w:pPr>
          </w:p>
          <w:p w14:paraId="45DDCC31" w14:textId="77777777" w:rsidR="00944CDA" w:rsidRDefault="00944CDA" w:rsidP="0087548A">
            <w:pPr>
              <w:pStyle w:val="TableText"/>
            </w:pPr>
          </w:p>
          <w:p w14:paraId="7DA4E60B" w14:textId="0BBBFCCC" w:rsidR="008F4EE4" w:rsidRDefault="008F4EE4" w:rsidP="0087548A">
            <w:pPr>
              <w:pStyle w:val="TableText"/>
            </w:pPr>
            <w:r>
              <w:t>EDI</w:t>
            </w:r>
            <w:r w:rsidR="001E38D9">
              <w:t xml:space="preserve"> Coordinator</w:t>
            </w:r>
            <w:r>
              <w:t>/</w:t>
            </w:r>
            <w:r w:rsidR="001E38D9">
              <w:t xml:space="preserve"> Wellbeing Lead/ </w:t>
            </w:r>
            <w:r>
              <w:t>Staff Network Leads</w:t>
            </w:r>
          </w:p>
          <w:p w14:paraId="7951C110" w14:textId="77777777" w:rsidR="008F4EE4" w:rsidRDefault="008F4EE4" w:rsidP="0087548A">
            <w:pPr>
              <w:pStyle w:val="TableText"/>
            </w:pPr>
          </w:p>
          <w:p w14:paraId="0DA12ED3" w14:textId="77777777" w:rsidR="008F4EE4" w:rsidRDefault="008F4EE4" w:rsidP="0087548A">
            <w:pPr>
              <w:pStyle w:val="TableText"/>
            </w:pPr>
          </w:p>
          <w:p w14:paraId="61C4F0B4" w14:textId="77777777" w:rsidR="008F4EE4" w:rsidRDefault="008F4EE4" w:rsidP="0087548A">
            <w:pPr>
              <w:pStyle w:val="TableText"/>
            </w:pPr>
          </w:p>
          <w:p w14:paraId="3132C437" w14:textId="77777777" w:rsidR="008F4EE4" w:rsidRDefault="008F4EE4" w:rsidP="0087548A">
            <w:pPr>
              <w:pStyle w:val="TableText"/>
            </w:pPr>
          </w:p>
          <w:p w14:paraId="42538101" w14:textId="77777777" w:rsidR="008F4EE4" w:rsidRDefault="008F4EE4" w:rsidP="0087548A">
            <w:pPr>
              <w:pStyle w:val="TableText"/>
            </w:pPr>
          </w:p>
          <w:p w14:paraId="6A28DD78" w14:textId="77777777" w:rsidR="008F4EE4" w:rsidRDefault="008F4EE4" w:rsidP="0087548A">
            <w:pPr>
              <w:pStyle w:val="TableText"/>
            </w:pPr>
          </w:p>
          <w:p w14:paraId="03D8C3D4" w14:textId="77777777" w:rsidR="008F4EE4" w:rsidRDefault="008F4EE4" w:rsidP="0087548A">
            <w:pPr>
              <w:pStyle w:val="TableText"/>
            </w:pPr>
          </w:p>
          <w:p w14:paraId="38049E7D" w14:textId="77777777" w:rsidR="008F4EE4" w:rsidRDefault="008F4EE4" w:rsidP="0087548A">
            <w:pPr>
              <w:pStyle w:val="TableText"/>
            </w:pPr>
          </w:p>
          <w:p w14:paraId="18EC7EBA" w14:textId="77777777" w:rsidR="008F4EE4" w:rsidRDefault="008F4EE4" w:rsidP="0087548A">
            <w:pPr>
              <w:pStyle w:val="TableText"/>
            </w:pPr>
          </w:p>
          <w:p w14:paraId="31B63799" w14:textId="77777777" w:rsidR="008F4EE4" w:rsidRDefault="008F4EE4" w:rsidP="0087548A">
            <w:pPr>
              <w:pStyle w:val="TableText"/>
            </w:pPr>
          </w:p>
          <w:p w14:paraId="0608EE9C" w14:textId="77777777" w:rsidR="008F4EE4" w:rsidRDefault="008F4EE4" w:rsidP="0087548A">
            <w:pPr>
              <w:pStyle w:val="TableText"/>
            </w:pPr>
          </w:p>
          <w:p w14:paraId="1FC0050E" w14:textId="77777777" w:rsidR="008F4EE4" w:rsidRDefault="008F4EE4" w:rsidP="0087548A">
            <w:pPr>
              <w:pStyle w:val="TableText"/>
            </w:pPr>
          </w:p>
          <w:p w14:paraId="194CDBB4" w14:textId="77777777" w:rsidR="008F4EE4" w:rsidRDefault="008F4EE4" w:rsidP="0087548A">
            <w:pPr>
              <w:pStyle w:val="TableText"/>
            </w:pPr>
          </w:p>
          <w:p w14:paraId="1D5A37E1" w14:textId="77777777" w:rsidR="008F4EE4" w:rsidRDefault="008F4EE4" w:rsidP="0087548A">
            <w:pPr>
              <w:pStyle w:val="TableText"/>
            </w:pPr>
          </w:p>
          <w:p w14:paraId="49F56079" w14:textId="77777777" w:rsidR="008F4EE4" w:rsidRDefault="008F4EE4" w:rsidP="0087548A">
            <w:pPr>
              <w:pStyle w:val="TableText"/>
            </w:pPr>
          </w:p>
          <w:p w14:paraId="263DB9A5" w14:textId="77777777" w:rsidR="008F4EE4" w:rsidRDefault="008F4EE4" w:rsidP="0087548A">
            <w:pPr>
              <w:pStyle w:val="TableText"/>
            </w:pPr>
          </w:p>
          <w:p w14:paraId="5FB4C173" w14:textId="77777777" w:rsidR="008F4EE4" w:rsidRDefault="008F4EE4" w:rsidP="0087548A">
            <w:pPr>
              <w:pStyle w:val="TableText"/>
            </w:pPr>
          </w:p>
          <w:p w14:paraId="62FE2DB7" w14:textId="77777777" w:rsidR="008F4EE4" w:rsidRDefault="008F4EE4" w:rsidP="0087548A">
            <w:pPr>
              <w:pStyle w:val="TableText"/>
            </w:pPr>
          </w:p>
          <w:p w14:paraId="5C67C963" w14:textId="77777777" w:rsidR="008F4EE4" w:rsidRDefault="008F4EE4" w:rsidP="0087548A">
            <w:pPr>
              <w:pStyle w:val="TableText"/>
            </w:pPr>
          </w:p>
          <w:p w14:paraId="01592F31" w14:textId="77777777" w:rsidR="008F4EE4" w:rsidRDefault="008F4EE4" w:rsidP="0087548A">
            <w:pPr>
              <w:pStyle w:val="TableText"/>
            </w:pPr>
          </w:p>
          <w:p w14:paraId="0D3D879F" w14:textId="77777777" w:rsidR="008F4EE4" w:rsidRDefault="008F4EE4" w:rsidP="0087548A">
            <w:pPr>
              <w:pStyle w:val="TableText"/>
            </w:pPr>
          </w:p>
          <w:p w14:paraId="6B918EDB" w14:textId="77777777" w:rsidR="008F4EE4" w:rsidRDefault="008F4EE4" w:rsidP="0087548A">
            <w:pPr>
              <w:pStyle w:val="TableText"/>
            </w:pPr>
          </w:p>
          <w:p w14:paraId="240521E9" w14:textId="77777777" w:rsidR="008F4EE4" w:rsidRDefault="008F4EE4" w:rsidP="0087548A">
            <w:pPr>
              <w:pStyle w:val="TableText"/>
            </w:pPr>
          </w:p>
          <w:p w14:paraId="6963E34C" w14:textId="77777777" w:rsidR="008F4EE4" w:rsidRDefault="008F4EE4" w:rsidP="0087548A">
            <w:pPr>
              <w:pStyle w:val="TableText"/>
            </w:pPr>
          </w:p>
          <w:p w14:paraId="224C6582" w14:textId="77777777" w:rsidR="008F4EE4" w:rsidRDefault="008F4EE4" w:rsidP="0087548A">
            <w:pPr>
              <w:pStyle w:val="TableText"/>
            </w:pPr>
          </w:p>
          <w:p w14:paraId="6E48A663" w14:textId="77777777" w:rsidR="008F4EE4" w:rsidRDefault="008F4EE4" w:rsidP="0087548A">
            <w:pPr>
              <w:pStyle w:val="TableText"/>
            </w:pPr>
          </w:p>
          <w:p w14:paraId="0F937334" w14:textId="77777777" w:rsidR="008F4EE4" w:rsidRDefault="008F4EE4" w:rsidP="0087548A">
            <w:pPr>
              <w:pStyle w:val="TableText"/>
            </w:pPr>
          </w:p>
          <w:p w14:paraId="38A72BF8" w14:textId="77777777" w:rsidR="008F4EE4" w:rsidRDefault="008F4EE4" w:rsidP="0087548A">
            <w:pPr>
              <w:pStyle w:val="TableText"/>
            </w:pPr>
          </w:p>
          <w:p w14:paraId="3A834C62" w14:textId="77777777" w:rsidR="008F4EE4" w:rsidRDefault="008F4EE4" w:rsidP="0087548A">
            <w:pPr>
              <w:pStyle w:val="TableText"/>
            </w:pPr>
          </w:p>
          <w:p w14:paraId="755E3244" w14:textId="77777777" w:rsidR="008F4EE4" w:rsidRDefault="008F4EE4" w:rsidP="0087548A">
            <w:pPr>
              <w:pStyle w:val="TableText"/>
            </w:pPr>
          </w:p>
          <w:p w14:paraId="07A32995" w14:textId="77777777" w:rsidR="008F4EE4" w:rsidRDefault="008F4EE4" w:rsidP="0087548A">
            <w:pPr>
              <w:pStyle w:val="TableText"/>
            </w:pPr>
          </w:p>
          <w:p w14:paraId="6F0FF61F" w14:textId="77777777" w:rsidR="008F4EE4" w:rsidRDefault="008F4EE4" w:rsidP="0087548A">
            <w:pPr>
              <w:pStyle w:val="TableText"/>
            </w:pPr>
          </w:p>
          <w:p w14:paraId="45B44680" w14:textId="77777777" w:rsidR="008F4EE4" w:rsidRDefault="008F4EE4" w:rsidP="0087548A">
            <w:pPr>
              <w:pStyle w:val="TableText"/>
            </w:pPr>
          </w:p>
          <w:p w14:paraId="3D05DD30" w14:textId="1A1C5BD8" w:rsidR="008F4EE4" w:rsidRDefault="001E38D9" w:rsidP="0087548A">
            <w:pPr>
              <w:pStyle w:val="TableText"/>
            </w:pPr>
            <w:r>
              <w:t>Wellbeing Lead</w:t>
            </w:r>
          </w:p>
          <w:p w14:paraId="55F1F5E8" w14:textId="77777777" w:rsidR="008F4EE4" w:rsidRDefault="008F4EE4" w:rsidP="0087548A">
            <w:pPr>
              <w:pStyle w:val="TableText"/>
            </w:pPr>
          </w:p>
          <w:p w14:paraId="19765B09" w14:textId="77777777" w:rsidR="008F4EE4" w:rsidRDefault="008F4EE4" w:rsidP="0087548A">
            <w:pPr>
              <w:pStyle w:val="TableText"/>
            </w:pPr>
          </w:p>
          <w:p w14:paraId="0EEF8691" w14:textId="77777777" w:rsidR="008F4EE4" w:rsidRDefault="008F4EE4" w:rsidP="0087548A">
            <w:pPr>
              <w:pStyle w:val="TableText"/>
            </w:pPr>
          </w:p>
          <w:p w14:paraId="3D6621D6" w14:textId="77777777" w:rsidR="008F4EE4" w:rsidRDefault="008F4EE4" w:rsidP="0087548A">
            <w:pPr>
              <w:pStyle w:val="TableText"/>
            </w:pPr>
          </w:p>
          <w:p w14:paraId="552F8634" w14:textId="77777777" w:rsidR="008F4EE4" w:rsidRDefault="008F4EE4" w:rsidP="0087548A">
            <w:pPr>
              <w:pStyle w:val="TableText"/>
            </w:pPr>
          </w:p>
          <w:p w14:paraId="7D123F84" w14:textId="77777777" w:rsidR="008F4EE4" w:rsidRDefault="008F4EE4" w:rsidP="0087548A">
            <w:pPr>
              <w:pStyle w:val="TableText"/>
            </w:pPr>
          </w:p>
          <w:p w14:paraId="037C51C3" w14:textId="77777777" w:rsidR="008F4EE4" w:rsidRDefault="008F4EE4" w:rsidP="0087548A">
            <w:pPr>
              <w:pStyle w:val="TableText"/>
            </w:pPr>
          </w:p>
          <w:p w14:paraId="56498954" w14:textId="77777777" w:rsidR="008F4EE4" w:rsidRDefault="008F4EE4" w:rsidP="0087548A">
            <w:pPr>
              <w:pStyle w:val="TableText"/>
            </w:pPr>
          </w:p>
          <w:p w14:paraId="5DEF0119" w14:textId="77777777" w:rsidR="008F4EE4" w:rsidRDefault="008F4EE4" w:rsidP="0087548A">
            <w:pPr>
              <w:pStyle w:val="TableText"/>
            </w:pPr>
          </w:p>
          <w:p w14:paraId="0A8DE791" w14:textId="77777777" w:rsidR="001E38D9" w:rsidRDefault="001E38D9" w:rsidP="0087548A">
            <w:pPr>
              <w:pStyle w:val="TableText"/>
            </w:pPr>
          </w:p>
          <w:p w14:paraId="740336A6" w14:textId="77777777" w:rsidR="00900737" w:rsidRDefault="00900737" w:rsidP="0087548A">
            <w:pPr>
              <w:pStyle w:val="TableText"/>
            </w:pPr>
          </w:p>
          <w:p w14:paraId="13FA9FF3" w14:textId="77777777" w:rsidR="00900737" w:rsidRDefault="00900737" w:rsidP="0087548A">
            <w:pPr>
              <w:pStyle w:val="TableText"/>
            </w:pPr>
          </w:p>
          <w:p w14:paraId="3FD44CBB" w14:textId="77777777" w:rsidR="00900737" w:rsidRDefault="00900737" w:rsidP="0087548A">
            <w:pPr>
              <w:pStyle w:val="TableText"/>
            </w:pPr>
          </w:p>
          <w:p w14:paraId="3878817B" w14:textId="77777777" w:rsidR="00900737" w:rsidRDefault="00900737" w:rsidP="0087548A">
            <w:pPr>
              <w:pStyle w:val="TableText"/>
            </w:pPr>
          </w:p>
          <w:p w14:paraId="5B3C7BF2" w14:textId="77777777" w:rsidR="00900737" w:rsidRDefault="00900737" w:rsidP="0087548A">
            <w:pPr>
              <w:pStyle w:val="TableText"/>
            </w:pPr>
          </w:p>
          <w:p w14:paraId="0176ABFB" w14:textId="77777777" w:rsidR="00900737" w:rsidRDefault="00900737" w:rsidP="00900737">
            <w:pPr>
              <w:pStyle w:val="TableText"/>
            </w:pPr>
            <w:r>
              <w:t>Staff Experience and OD Coordinator - Inclusion/Wellbeing Lead</w:t>
            </w:r>
          </w:p>
          <w:p w14:paraId="31D44AF6" w14:textId="77777777" w:rsidR="00900737" w:rsidRDefault="00900737" w:rsidP="00900737">
            <w:pPr>
              <w:pStyle w:val="TableText"/>
            </w:pPr>
          </w:p>
          <w:p w14:paraId="59A567E5" w14:textId="77777777" w:rsidR="00900737" w:rsidRDefault="00900737" w:rsidP="00900737">
            <w:pPr>
              <w:pStyle w:val="TableText"/>
            </w:pPr>
          </w:p>
          <w:p w14:paraId="08AA0455" w14:textId="77777777" w:rsidR="00900737" w:rsidRDefault="00900737" w:rsidP="00900737">
            <w:pPr>
              <w:pStyle w:val="TableText"/>
            </w:pPr>
          </w:p>
          <w:p w14:paraId="48184AC4" w14:textId="77777777" w:rsidR="00900737" w:rsidRDefault="00900737" w:rsidP="00900737">
            <w:pPr>
              <w:pStyle w:val="TableText"/>
            </w:pPr>
          </w:p>
          <w:p w14:paraId="6E3A168D" w14:textId="77777777" w:rsidR="00900737" w:rsidRDefault="00900737" w:rsidP="00900737">
            <w:pPr>
              <w:pStyle w:val="TableText"/>
            </w:pPr>
          </w:p>
          <w:p w14:paraId="50198868" w14:textId="77777777" w:rsidR="00900737" w:rsidRDefault="00900737" w:rsidP="00900737">
            <w:pPr>
              <w:pStyle w:val="TableText"/>
            </w:pPr>
          </w:p>
          <w:p w14:paraId="1019EC88" w14:textId="77777777" w:rsidR="00900737" w:rsidRDefault="00900737" w:rsidP="00900737">
            <w:pPr>
              <w:pStyle w:val="TableText"/>
            </w:pPr>
          </w:p>
          <w:p w14:paraId="42BA1E8D" w14:textId="77777777" w:rsidR="00900737" w:rsidRDefault="00900737" w:rsidP="00900737">
            <w:pPr>
              <w:pStyle w:val="TableText"/>
            </w:pPr>
          </w:p>
          <w:p w14:paraId="70FC8901" w14:textId="77777777" w:rsidR="00900737" w:rsidRDefault="00900737" w:rsidP="00900737">
            <w:pPr>
              <w:pStyle w:val="TableText"/>
            </w:pPr>
          </w:p>
          <w:p w14:paraId="329FE6A7" w14:textId="77777777" w:rsidR="00900737" w:rsidRDefault="00900737" w:rsidP="00900737">
            <w:pPr>
              <w:pStyle w:val="TableText"/>
            </w:pPr>
          </w:p>
          <w:p w14:paraId="1FE96947" w14:textId="77777777" w:rsidR="00900737" w:rsidRDefault="00900737" w:rsidP="00900737">
            <w:pPr>
              <w:pStyle w:val="TableText"/>
            </w:pPr>
          </w:p>
          <w:p w14:paraId="6CEC5418" w14:textId="77777777" w:rsidR="00900737" w:rsidRDefault="00900737" w:rsidP="00900737">
            <w:pPr>
              <w:pStyle w:val="TableText"/>
            </w:pPr>
          </w:p>
          <w:p w14:paraId="2DE2BC78" w14:textId="77777777" w:rsidR="00900737" w:rsidRDefault="00900737" w:rsidP="00900737">
            <w:pPr>
              <w:pStyle w:val="TableText"/>
            </w:pPr>
          </w:p>
          <w:p w14:paraId="66A3A453" w14:textId="77777777" w:rsidR="00900737" w:rsidRDefault="00900737" w:rsidP="00900737">
            <w:pPr>
              <w:pStyle w:val="TableText"/>
            </w:pPr>
          </w:p>
          <w:p w14:paraId="406E1345" w14:textId="77777777" w:rsidR="00900737" w:rsidRDefault="00900737" w:rsidP="00900737">
            <w:pPr>
              <w:pStyle w:val="TableText"/>
            </w:pPr>
          </w:p>
          <w:p w14:paraId="56FFC3A5" w14:textId="77777777" w:rsidR="00900737" w:rsidRDefault="00900737" w:rsidP="00900737">
            <w:pPr>
              <w:pStyle w:val="TableText"/>
            </w:pPr>
          </w:p>
          <w:p w14:paraId="6FADF31A" w14:textId="77777777" w:rsidR="00900737" w:rsidRDefault="00900737" w:rsidP="00900737">
            <w:pPr>
              <w:pStyle w:val="TableText"/>
            </w:pPr>
          </w:p>
          <w:p w14:paraId="25C3BDE3" w14:textId="77777777" w:rsidR="00900737" w:rsidRDefault="00900737" w:rsidP="00900737">
            <w:pPr>
              <w:pStyle w:val="TableText"/>
            </w:pPr>
          </w:p>
          <w:p w14:paraId="5C328B40" w14:textId="77777777" w:rsidR="00900737" w:rsidRDefault="00900737" w:rsidP="00900737">
            <w:pPr>
              <w:pStyle w:val="TableText"/>
            </w:pPr>
          </w:p>
          <w:p w14:paraId="00A03B94" w14:textId="77777777" w:rsidR="00900737" w:rsidRDefault="00900737" w:rsidP="00900737">
            <w:pPr>
              <w:pStyle w:val="TableText"/>
            </w:pPr>
          </w:p>
          <w:p w14:paraId="0AA6E55B" w14:textId="15B6CA18" w:rsidR="00900737" w:rsidRDefault="00900737" w:rsidP="00900737">
            <w:pPr>
              <w:pStyle w:val="TableText"/>
            </w:pPr>
            <w:r>
              <w:t>Wellbeing Lead</w:t>
            </w:r>
          </w:p>
          <w:p w14:paraId="6806D875" w14:textId="77777777" w:rsidR="00900737" w:rsidRDefault="00900737" w:rsidP="00900737">
            <w:pPr>
              <w:pStyle w:val="TableText"/>
            </w:pPr>
          </w:p>
          <w:p w14:paraId="0C75F7A6" w14:textId="77777777" w:rsidR="00900737" w:rsidRDefault="00900737" w:rsidP="00900737">
            <w:pPr>
              <w:pStyle w:val="TableText"/>
            </w:pPr>
          </w:p>
          <w:p w14:paraId="2782BF43" w14:textId="77777777" w:rsidR="00900737" w:rsidRDefault="00900737" w:rsidP="00900737">
            <w:pPr>
              <w:pStyle w:val="TableText"/>
            </w:pPr>
          </w:p>
          <w:p w14:paraId="4D44DC20" w14:textId="77777777" w:rsidR="00900737" w:rsidRDefault="00900737" w:rsidP="00900737">
            <w:pPr>
              <w:pStyle w:val="TableText"/>
            </w:pPr>
          </w:p>
          <w:p w14:paraId="444C9710" w14:textId="77777777" w:rsidR="00900737" w:rsidRDefault="00900737" w:rsidP="00900737">
            <w:pPr>
              <w:pStyle w:val="TableText"/>
            </w:pPr>
          </w:p>
          <w:p w14:paraId="475A06EE" w14:textId="77777777" w:rsidR="00900737" w:rsidRDefault="00900737" w:rsidP="00900737">
            <w:pPr>
              <w:pStyle w:val="TableText"/>
            </w:pPr>
          </w:p>
          <w:p w14:paraId="5BE826B7" w14:textId="77777777" w:rsidR="00900737" w:rsidRDefault="00900737" w:rsidP="00900737">
            <w:pPr>
              <w:pStyle w:val="TableText"/>
            </w:pPr>
          </w:p>
          <w:p w14:paraId="41002983" w14:textId="77777777" w:rsidR="00900737" w:rsidRDefault="00900737" w:rsidP="00900737">
            <w:pPr>
              <w:pStyle w:val="TableText"/>
            </w:pPr>
          </w:p>
          <w:p w14:paraId="6C86162D" w14:textId="77777777" w:rsidR="00900737" w:rsidRDefault="00900737" w:rsidP="00900737">
            <w:pPr>
              <w:pStyle w:val="TableText"/>
            </w:pPr>
          </w:p>
          <w:p w14:paraId="44E08921" w14:textId="77777777" w:rsidR="00900737" w:rsidRDefault="00900737" w:rsidP="00900737">
            <w:pPr>
              <w:pStyle w:val="TableText"/>
            </w:pPr>
          </w:p>
          <w:p w14:paraId="43A6D39A" w14:textId="77777777" w:rsidR="00900737" w:rsidRDefault="00900737" w:rsidP="00900737">
            <w:pPr>
              <w:pStyle w:val="TableText"/>
            </w:pPr>
          </w:p>
          <w:p w14:paraId="4D844287" w14:textId="77777777" w:rsidR="00900737" w:rsidRDefault="00900737" w:rsidP="00900737">
            <w:pPr>
              <w:pStyle w:val="TableText"/>
            </w:pPr>
          </w:p>
          <w:p w14:paraId="0B28274E" w14:textId="77777777" w:rsidR="00900737" w:rsidRDefault="00900737" w:rsidP="00900737">
            <w:pPr>
              <w:pStyle w:val="TableText"/>
            </w:pPr>
          </w:p>
          <w:p w14:paraId="1510DC31" w14:textId="77777777" w:rsidR="00900737" w:rsidRDefault="00900737" w:rsidP="00900737">
            <w:pPr>
              <w:pStyle w:val="TableText"/>
            </w:pPr>
          </w:p>
          <w:p w14:paraId="1C7E23DD" w14:textId="77777777" w:rsidR="00900737" w:rsidRDefault="00900737" w:rsidP="00900737">
            <w:pPr>
              <w:pStyle w:val="TableText"/>
            </w:pPr>
          </w:p>
          <w:p w14:paraId="390A691E" w14:textId="77777777" w:rsidR="00432559" w:rsidRDefault="00432559" w:rsidP="00432559">
            <w:pPr>
              <w:pStyle w:val="TableText"/>
            </w:pPr>
            <w:r>
              <w:t>Staff Experience and OD Coordinator - Inclusion/Wellbeing Lead</w:t>
            </w:r>
          </w:p>
          <w:p w14:paraId="6AEEAC8F" w14:textId="77777777" w:rsidR="00900737" w:rsidRDefault="00900737" w:rsidP="00900737">
            <w:pPr>
              <w:pStyle w:val="TableText"/>
            </w:pPr>
          </w:p>
          <w:p w14:paraId="25D2FCED" w14:textId="77777777" w:rsidR="00900737" w:rsidRDefault="00900737" w:rsidP="00900737">
            <w:pPr>
              <w:pStyle w:val="TableText"/>
            </w:pPr>
          </w:p>
          <w:p w14:paraId="58DBCF5B" w14:textId="77777777" w:rsidR="00432559" w:rsidRDefault="00432559" w:rsidP="0087548A">
            <w:pPr>
              <w:pStyle w:val="TableText"/>
            </w:pPr>
          </w:p>
          <w:p w14:paraId="2E9D2B05" w14:textId="77777777" w:rsidR="00432559" w:rsidRDefault="00432559" w:rsidP="0087548A">
            <w:pPr>
              <w:pStyle w:val="TableText"/>
            </w:pPr>
          </w:p>
          <w:p w14:paraId="0FEF0381" w14:textId="77777777" w:rsidR="00432559" w:rsidRDefault="00432559" w:rsidP="0087548A">
            <w:pPr>
              <w:pStyle w:val="TableText"/>
            </w:pPr>
          </w:p>
          <w:p w14:paraId="44412682" w14:textId="77777777" w:rsidR="00432559" w:rsidRDefault="00432559" w:rsidP="0087548A">
            <w:pPr>
              <w:pStyle w:val="TableText"/>
            </w:pPr>
          </w:p>
          <w:p w14:paraId="34B46FC7" w14:textId="77777777" w:rsidR="00432559" w:rsidRDefault="00432559" w:rsidP="0087548A">
            <w:pPr>
              <w:pStyle w:val="TableText"/>
            </w:pPr>
          </w:p>
          <w:p w14:paraId="5B9F65E4" w14:textId="28CF531E" w:rsidR="008F4EE4" w:rsidRDefault="001E38D9" w:rsidP="0087548A">
            <w:pPr>
              <w:pStyle w:val="TableText"/>
            </w:pPr>
            <w:r>
              <w:t>Occupational Health and Wellbeing Manager</w:t>
            </w:r>
          </w:p>
          <w:p w14:paraId="53FDEB8F" w14:textId="77777777" w:rsidR="008F4EE4" w:rsidRDefault="008F4EE4" w:rsidP="0087548A">
            <w:pPr>
              <w:pStyle w:val="TableText"/>
            </w:pPr>
          </w:p>
          <w:p w14:paraId="7A823837" w14:textId="77777777" w:rsidR="008F4EE4" w:rsidRDefault="008F4EE4" w:rsidP="0087548A">
            <w:pPr>
              <w:pStyle w:val="TableText"/>
            </w:pPr>
          </w:p>
          <w:p w14:paraId="18A73544" w14:textId="77777777" w:rsidR="00432559" w:rsidRDefault="00432559" w:rsidP="0087548A">
            <w:pPr>
              <w:pStyle w:val="TableText"/>
            </w:pPr>
          </w:p>
          <w:p w14:paraId="3CD51326" w14:textId="589D3066" w:rsidR="008F4EE4" w:rsidRDefault="001E38D9" w:rsidP="0087548A">
            <w:pPr>
              <w:pStyle w:val="TableText"/>
            </w:pPr>
            <w:r>
              <w:t>Head of Resourcing, Workforce Systems and Information</w:t>
            </w:r>
          </w:p>
          <w:p w14:paraId="2B17577E" w14:textId="7B4ED669" w:rsidR="008F4EE4" w:rsidRDefault="008F4EE4" w:rsidP="0087548A">
            <w:pPr>
              <w:pStyle w:val="TableText"/>
            </w:pPr>
          </w:p>
          <w:p w14:paraId="7780744E" w14:textId="77777777" w:rsidR="008F4EE4" w:rsidRDefault="008F4EE4" w:rsidP="0087548A">
            <w:pPr>
              <w:pStyle w:val="TableText"/>
            </w:pPr>
            <w:r>
              <w:t>Staff Networks</w:t>
            </w:r>
          </w:p>
          <w:p w14:paraId="44B444E8" w14:textId="77777777" w:rsidR="008F4EE4" w:rsidRDefault="008F4EE4" w:rsidP="0087548A">
            <w:pPr>
              <w:pStyle w:val="TableText"/>
            </w:pPr>
          </w:p>
          <w:p w14:paraId="3DB83C12" w14:textId="77777777" w:rsidR="008F4EE4" w:rsidRDefault="008F4EE4" w:rsidP="0087548A">
            <w:pPr>
              <w:pStyle w:val="TableText"/>
            </w:pPr>
          </w:p>
          <w:p w14:paraId="671A8245" w14:textId="77777777" w:rsidR="008F4EE4" w:rsidRDefault="008F4EE4" w:rsidP="0087548A">
            <w:pPr>
              <w:pStyle w:val="TableText"/>
            </w:pPr>
          </w:p>
          <w:p w14:paraId="07FE4638" w14:textId="77777777" w:rsidR="008F4EE4" w:rsidRDefault="008F4EE4" w:rsidP="0087548A">
            <w:pPr>
              <w:pStyle w:val="TableText"/>
            </w:pPr>
          </w:p>
          <w:p w14:paraId="2EB4C5CD" w14:textId="77777777" w:rsidR="001E38D9" w:rsidRDefault="001E38D9" w:rsidP="0087548A">
            <w:pPr>
              <w:pStyle w:val="TableText"/>
            </w:pPr>
          </w:p>
          <w:p w14:paraId="5F1D7D1C" w14:textId="19F28320" w:rsidR="008F4EE4" w:rsidRDefault="001E38D9" w:rsidP="0087548A">
            <w:pPr>
              <w:pStyle w:val="TableText"/>
            </w:pPr>
            <w:r>
              <w:t>Wellbeing Lead</w:t>
            </w:r>
          </w:p>
          <w:p w14:paraId="2B7F493D" w14:textId="77777777" w:rsidR="001E38D9" w:rsidRDefault="001E38D9" w:rsidP="0087548A">
            <w:pPr>
              <w:pStyle w:val="TableText"/>
            </w:pPr>
          </w:p>
          <w:p w14:paraId="483FEA90" w14:textId="77777777" w:rsidR="008F4EE4" w:rsidRDefault="008F4EE4" w:rsidP="0087548A">
            <w:pPr>
              <w:pStyle w:val="TableText"/>
            </w:pPr>
          </w:p>
          <w:p w14:paraId="65740FFB" w14:textId="77777777" w:rsidR="008F4EE4" w:rsidRDefault="008F4EE4" w:rsidP="0087548A">
            <w:pPr>
              <w:pStyle w:val="TableText"/>
            </w:pPr>
          </w:p>
          <w:p w14:paraId="6FAC3B7D" w14:textId="5D578A74" w:rsidR="008F4EE4" w:rsidRDefault="008F4EE4" w:rsidP="0087548A">
            <w:pPr>
              <w:pStyle w:val="TableText"/>
            </w:pPr>
          </w:p>
          <w:p w14:paraId="6158E32F" w14:textId="77777777" w:rsidR="001E38D9" w:rsidRDefault="001E38D9" w:rsidP="0087548A">
            <w:pPr>
              <w:pStyle w:val="TableText"/>
            </w:pPr>
          </w:p>
          <w:p w14:paraId="006A3AD8" w14:textId="63FF9DB5" w:rsidR="001E38D9" w:rsidRDefault="001E38D9" w:rsidP="0087548A">
            <w:pPr>
              <w:pStyle w:val="TableText"/>
            </w:pPr>
            <w:r>
              <w:t>Head of Staff Experience and OD</w:t>
            </w:r>
          </w:p>
          <w:p w14:paraId="4B70FCE3" w14:textId="77777777" w:rsidR="00432559" w:rsidRDefault="00432559" w:rsidP="0087548A">
            <w:pPr>
              <w:pStyle w:val="TableText"/>
            </w:pPr>
          </w:p>
          <w:p w14:paraId="53BEF4AF" w14:textId="77777777" w:rsidR="00432559" w:rsidRDefault="00432559" w:rsidP="0087548A">
            <w:pPr>
              <w:pStyle w:val="TableText"/>
            </w:pPr>
          </w:p>
          <w:p w14:paraId="1CF4EF27" w14:textId="77777777" w:rsidR="00432559" w:rsidRDefault="00432559" w:rsidP="0087548A">
            <w:pPr>
              <w:pStyle w:val="TableText"/>
            </w:pPr>
          </w:p>
          <w:p w14:paraId="07613CDB" w14:textId="77777777" w:rsidR="00432559" w:rsidRDefault="00432559" w:rsidP="0087548A">
            <w:pPr>
              <w:pStyle w:val="TableText"/>
            </w:pPr>
          </w:p>
          <w:p w14:paraId="4F62ADAD" w14:textId="78619905" w:rsidR="00432559" w:rsidRDefault="00432559" w:rsidP="0087548A">
            <w:pPr>
              <w:pStyle w:val="TableText"/>
            </w:pPr>
            <w:r>
              <w:lastRenderedPageBreak/>
              <w:t>Deputy CPO</w:t>
            </w:r>
          </w:p>
          <w:p w14:paraId="5256DD35" w14:textId="77777777" w:rsidR="008F4EE4" w:rsidRDefault="008F4EE4" w:rsidP="0087548A">
            <w:pPr>
              <w:pStyle w:val="TableText"/>
            </w:pPr>
          </w:p>
          <w:p w14:paraId="3480B4AA" w14:textId="77777777" w:rsidR="008F4EE4" w:rsidRDefault="008F4EE4" w:rsidP="0087548A">
            <w:pPr>
              <w:pStyle w:val="TableText"/>
            </w:pPr>
          </w:p>
          <w:p w14:paraId="79E017EE" w14:textId="77777777" w:rsidR="00432559" w:rsidRDefault="00432559" w:rsidP="0087548A">
            <w:pPr>
              <w:pStyle w:val="TableText"/>
            </w:pPr>
          </w:p>
          <w:p w14:paraId="5F454291" w14:textId="77777777" w:rsidR="00432559" w:rsidRDefault="00432559" w:rsidP="0087548A">
            <w:pPr>
              <w:pStyle w:val="TableText"/>
            </w:pPr>
          </w:p>
          <w:p w14:paraId="7C499A8D" w14:textId="77777777" w:rsidR="00432559" w:rsidRDefault="00432559" w:rsidP="0087548A">
            <w:pPr>
              <w:pStyle w:val="TableText"/>
            </w:pPr>
          </w:p>
          <w:p w14:paraId="63546C46" w14:textId="77777777" w:rsidR="00432559" w:rsidRDefault="00432559" w:rsidP="0087548A">
            <w:pPr>
              <w:pStyle w:val="TableText"/>
            </w:pPr>
          </w:p>
          <w:p w14:paraId="584CEF2C" w14:textId="77777777" w:rsidR="00432559" w:rsidRDefault="00432559" w:rsidP="0087548A">
            <w:pPr>
              <w:pStyle w:val="TableText"/>
            </w:pPr>
          </w:p>
          <w:p w14:paraId="6299567A" w14:textId="77777777" w:rsidR="00432559" w:rsidRDefault="00432559" w:rsidP="0087548A">
            <w:pPr>
              <w:pStyle w:val="TableText"/>
            </w:pPr>
          </w:p>
          <w:p w14:paraId="6407F2E5" w14:textId="77777777" w:rsidR="00432559" w:rsidRDefault="00432559" w:rsidP="0087548A">
            <w:pPr>
              <w:pStyle w:val="TableText"/>
            </w:pPr>
          </w:p>
          <w:p w14:paraId="7508066A" w14:textId="77777777" w:rsidR="00432559" w:rsidRDefault="00432559" w:rsidP="0087548A">
            <w:pPr>
              <w:pStyle w:val="TableText"/>
            </w:pPr>
          </w:p>
          <w:p w14:paraId="56F6D307" w14:textId="77777777" w:rsidR="00432559" w:rsidRDefault="00432559" w:rsidP="0087548A">
            <w:pPr>
              <w:pStyle w:val="TableText"/>
            </w:pPr>
          </w:p>
          <w:p w14:paraId="034B1631" w14:textId="77777777" w:rsidR="00432559" w:rsidRDefault="00432559" w:rsidP="0087548A">
            <w:pPr>
              <w:pStyle w:val="TableText"/>
            </w:pPr>
          </w:p>
          <w:p w14:paraId="48FC7565" w14:textId="77777777" w:rsidR="00432559" w:rsidRDefault="00432559" w:rsidP="0087548A">
            <w:pPr>
              <w:pStyle w:val="TableText"/>
            </w:pPr>
          </w:p>
          <w:p w14:paraId="30033D1B" w14:textId="77777777" w:rsidR="00432559" w:rsidRDefault="00432559" w:rsidP="0087548A">
            <w:pPr>
              <w:pStyle w:val="TableText"/>
            </w:pPr>
          </w:p>
          <w:p w14:paraId="11D8A38D" w14:textId="77777777" w:rsidR="00432559" w:rsidRDefault="00432559" w:rsidP="0087548A">
            <w:pPr>
              <w:pStyle w:val="TableText"/>
            </w:pPr>
          </w:p>
          <w:p w14:paraId="51C45E7F" w14:textId="77777777" w:rsidR="00432559" w:rsidRDefault="00432559" w:rsidP="0087548A">
            <w:pPr>
              <w:pStyle w:val="TableText"/>
            </w:pPr>
          </w:p>
          <w:p w14:paraId="241DDA6B" w14:textId="77777777" w:rsidR="00432559" w:rsidRDefault="00432559" w:rsidP="0087548A">
            <w:pPr>
              <w:pStyle w:val="TableText"/>
            </w:pPr>
          </w:p>
          <w:p w14:paraId="67162B89" w14:textId="69A823BD" w:rsidR="00432559" w:rsidRDefault="00432559" w:rsidP="00432559">
            <w:pPr>
              <w:pStyle w:val="TableText"/>
            </w:pPr>
            <w:r>
              <w:t>Staff Experience and OD Coordinator - Inclusion/Wellbeing Lead/Workforce Information Team</w:t>
            </w:r>
          </w:p>
          <w:p w14:paraId="24EFAC45" w14:textId="7D471C6F" w:rsidR="00432559" w:rsidRPr="009D1CC6" w:rsidRDefault="00432559" w:rsidP="0087548A">
            <w:pPr>
              <w:pStyle w:val="TableText"/>
            </w:pPr>
          </w:p>
        </w:tc>
      </w:tr>
      <w:tr w:rsidR="00900737" w:rsidRPr="009D1CC6" w14:paraId="78655683" w14:textId="77777777" w:rsidTr="00B856E9">
        <w:trPr>
          <w:cantSplit/>
          <w:trHeight w:val="1247"/>
        </w:trPr>
        <w:tc>
          <w:tcPr>
            <w:tcW w:w="1129" w:type="dxa"/>
            <w:vMerge/>
            <w:shd w:val="clear" w:color="auto" w:fill="BDDEFF" w:themeFill="accent1" w:themeFillTint="33"/>
          </w:tcPr>
          <w:p w14:paraId="286AA307" w14:textId="77777777" w:rsidR="00BB480F" w:rsidRPr="009D1CC6" w:rsidRDefault="00BB480F" w:rsidP="00E33027">
            <w:pPr>
              <w:rPr>
                <w:rFonts w:cs="Arial"/>
              </w:rPr>
            </w:pPr>
            <w:bookmarkStart w:id="3" w:name="_Hlk211517389"/>
            <w:bookmarkEnd w:id="2"/>
          </w:p>
        </w:tc>
        <w:tc>
          <w:tcPr>
            <w:tcW w:w="3828" w:type="dxa"/>
            <w:shd w:val="clear" w:color="auto" w:fill="BDDEFF" w:themeFill="accent1" w:themeFillTint="33"/>
          </w:tcPr>
          <w:p w14:paraId="1DFCFD77" w14:textId="77777777" w:rsidR="00BB480F" w:rsidRPr="009D1CC6" w:rsidRDefault="00BB480F" w:rsidP="00E33027">
            <w:pPr>
              <w:rPr>
                <w:rFonts w:cs="Arial"/>
              </w:rPr>
            </w:pPr>
            <w:r w:rsidRPr="009D1CC6">
              <w:rPr>
                <w:rFonts w:cs="Arial"/>
              </w:rPr>
              <w:t xml:space="preserve">2B: When at work, staff are free from abuse, harassment, bullying and physical violence from any source </w:t>
            </w:r>
          </w:p>
        </w:tc>
        <w:tc>
          <w:tcPr>
            <w:tcW w:w="5386" w:type="dxa"/>
          </w:tcPr>
          <w:p w14:paraId="68E08528" w14:textId="10CCD348" w:rsidR="00B12EFB" w:rsidRDefault="00B12EFB" w:rsidP="00B12EFB">
            <w:pPr>
              <w:pStyle w:val="TableText"/>
            </w:pPr>
            <w:r>
              <w:t xml:space="preserve">2025 WRES Report </w:t>
            </w:r>
            <w:r w:rsidR="003448B9">
              <w:t>–</w:t>
            </w:r>
            <w:r>
              <w:t xml:space="preserve"> Indicators 5 and 6 (utilising 2024 Staff Survey data)</w:t>
            </w:r>
          </w:p>
          <w:p w14:paraId="6C05F59E" w14:textId="77777777" w:rsidR="00B12EFB" w:rsidRDefault="00B12EFB" w:rsidP="00B12EFB">
            <w:pPr>
              <w:pStyle w:val="TableText"/>
            </w:pPr>
          </w:p>
          <w:p w14:paraId="37C598FE" w14:textId="43C038F0" w:rsidR="00D55881" w:rsidRDefault="00B12EFB" w:rsidP="00210242">
            <w:pPr>
              <w:pStyle w:val="TableText"/>
              <w:numPr>
                <w:ilvl w:val="0"/>
                <w:numId w:val="14"/>
              </w:numPr>
            </w:pPr>
            <w:r>
              <w:t xml:space="preserve">Percentage of staff from ethnic minority groups experiencing harassment, bullying or abuse from </w:t>
            </w:r>
            <w:r w:rsidR="003448B9">
              <w:t>–</w:t>
            </w:r>
          </w:p>
          <w:p w14:paraId="31FEC692" w14:textId="676A82B1" w:rsidR="00B12EFB" w:rsidRDefault="00B12EFB" w:rsidP="00210242">
            <w:pPr>
              <w:pStyle w:val="TableText"/>
              <w:numPr>
                <w:ilvl w:val="0"/>
                <w:numId w:val="14"/>
              </w:numPr>
            </w:pPr>
            <w:r>
              <w:t xml:space="preserve">patients, relatives or the public in the last 12 months has seen a slight increase of 0.5% in year to 34.5% (11.5% above previous </w:t>
            </w:r>
            <w:r w:rsidR="00D55881">
              <w:t>year’s</w:t>
            </w:r>
            <w:r>
              <w:t xml:space="preserve"> average across all trust)</w:t>
            </w:r>
          </w:p>
          <w:p w14:paraId="5D02BBD6" w14:textId="290602E8" w:rsidR="00B12EFB" w:rsidRDefault="00B12EFB" w:rsidP="00210242">
            <w:pPr>
              <w:pStyle w:val="TableText"/>
              <w:numPr>
                <w:ilvl w:val="1"/>
                <w:numId w:val="14"/>
              </w:numPr>
              <w:ind w:left="700"/>
            </w:pPr>
            <w:r>
              <w:t>staff in the last 12 months has seen a reduction of 4.6% in year to 27.8%</w:t>
            </w:r>
          </w:p>
          <w:p w14:paraId="6C823130" w14:textId="702D189D" w:rsidR="006440D3" w:rsidRDefault="006440D3" w:rsidP="00210242">
            <w:pPr>
              <w:pStyle w:val="TableText"/>
              <w:numPr>
                <w:ilvl w:val="0"/>
                <w:numId w:val="14"/>
              </w:numPr>
            </w:pPr>
            <w:r>
              <w:t>Percentage of disabled staff experiencing harassment, bullying or abuse at work from</w:t>
            </w:r>
          </w:p>
          <w:p w14:paraId="2D070D71" w14:textId="0A24935D" w:rsidR="006440D3" w:rsidRDefault="006440D3" w:rsidP="00210242">
            <w:pPr>
              <w:pStyle w:val="TableText"/>
              <w:numPr>
                <w:ilvl w:val="1"/>
                <w:numId w:val="14"/>
              </w:numPr>
              <w:ind w:left="700"/>
            </w:pPr>
            <w:r>
              <w:t>The public in the last 12 months</w:t>
            </w:r>
            <w:r w:rsidR="00AE5CE0">
              <w:t xml:space="preserve"> has seen a slight increase of 1.7% in year to 33%</w:t>
            </w:r>
          </w:p>
          <w:p w14:paraId="16773946" w14:textId="32D4F003" w:rsidR="006440D3" w:rsidRDefault="006440D3" w:rsidP="00210242">
            <w:pPr>
              <w:pStyle w:val="TableText"/>
              <w:numPr>
                <w:ilvl w:val="1"/>
                <w:numId w:val="14"/>
              </w:numPr>
              <w:ind w:left="700"/>
            </w:pPr>
            <w:r>
              <w:t>Managers in the last 12 months</w:t>
            </w:r>
            <w:r w:rsidR="00AE5CE0">
              <w:t xml:space="preserve"> has seen a slight decrease of 0.86% in year to 16%</w:t>
            </w:r>
          </w:p>
          <w:p w14:paraId="6AAF5EDC" w14:textId="3964CA1A" w:rsidR="006440D3" w:rsidRDefault="006440D3" w:rsidP="00210242">
            <w:pPr>
              <w:pStyle w:val="TableText"/>
              <w:numPr>
                <w:ilvl w:val="1"/>
                <w:numId w:val="14"/>
              </w:numPr>
              <w:ind w:left="700"/>
            </w:pPr>
            <w:r>
              <w:t xml:space="preserve">Other </w:t>
            </w:r>
            <w:proofErr w:type="gramStart"/>
            <w:r w:rsidR="00AB2894">
              <w:t>colleague’s</w:t>
            </w:r>
            <w:proofErr w:type="gramEnd"/>
            <w:r>
              <w:t xml:space="preserve"> in the last 12 months</w:t>
            </w:r>
            <w:r w:rsidR="00AE5CE0">
              <w:t xml:space="preserve"> has seen a slight increase of 0.9% in year to 26.8%</w:t>
            </w:r>
          </w:p>
          <w:p w14:paraId="7FA68915" w14:textId="208AA57B" w:rsidR="006440D3" w:rsidRDefault="006440D3" w:rsidP="00210242">
            <w:pPr>
              <w:pStyle w:val="TableText"/>
              <w:numPr>
                <w:ilvl w:val="0"/>
                <w:numId w:val="14"/>
              </w:numPr>
            </w:pPr>
            <w:r>
              <w:t>Percentage of disabled staff saying that the last time they experienced HBA they reported it</w:t>
            </w:r>
            <w:r w:rsidR="00AE5CE0">
              <w:t xml:space="preserve"> has seen a slight decrease in year of 1.5% to 51.5%. </w:t>
            </w:r>
          </w:p>
          <w:p w14:paraId="1672042F" w14:textId="68B0C0EA" w:rsidR="006440D3" w:rsidRDefault="006440D3" w:rsidP="006440D3">
            <w:pPr>
              <w:pStyle w:val="TableText"/>
            </w:pPr>
          </w:p>
          <w:p w14:paraId="405EEDD8" w14:textId="1FEF590F" w:rsidR="006440D3" w:rsidRDefault="006440D3" w:rsidP="006440D3">
            <w:pPr>
              <w:pStyle w:val="TableText"/>
            </w:pPr>
            <w:r>
              <w:t xml:space="preserve">Recognising significant work required in relation to experiencing harassment, bullying or abuse from patients, relatives or the public, action has included. </w:t>
            </w:r>
          </w:p>
          <w:p w14:paraId="6EB85698" w14:textId="5A1EC10A" w:rsidR="00B12EFB" w:rsidRDefault="00255D8F" w:rsidP="00210242">
            <w:pPr>
              <w:pStyle w:val="TableText"/>
              <w:numPr>
                <w:ilvl w:val="0"/>
                <w:numId w:val="13"/>
              </w:numPr>
            </w:pPr>
            <w:r>
              <w:lastRenderedPageBreak/>
              <w:t xml:space="preserve">Incident Review: Each Datix report flagged as a racial incident in the last 12 months has been reviewed and individuals involved contacted by the EDI Coordinator to offer support, signpost to relevant Trust services and understand the support offered to them. Managers of the staff involved have also been contacted to </w:t>
            </w:r>
            <w:r w:rsidR="00C96252">
              <w:t>share their perspective on the incident and share any action taken to address the issue/reduce re-occurrence.</w:t>
            </w:r>
          </w:p>
          <w:p w14:paraId="3F54C3E0" w14:textId="40553491" w:rsidR="00255D8F" w:rsidRDefault="00255D8F" w:rsidP="00B12EFB">
            <w:pPr>
              <w:pStyle w:val="TableText"/>
              <w:ind w:left="720"/>
            </w:pPr>
          </w:p>
          <w:p w14:paraId="1FCE6F4D" w14:textId="44CB52FE" w:rsidR="003448B9" w:rsidRDefault="00C96252" w:rsidP="00210242">
            <w:pPr>
              <w:pStyle w:val="TableText"/>
              <w:numPr>
                <w:ilvl w:val="0"/>
                <w:numId w:val="13"/>
              </w:numPr>
            </w:pPr>
            <w:r>
              <w:t>Zero Tolerance Campaign</w:t>
            </w:r>
          </w:p>
          <w:p w14:paraId="0E507B76" w14:textId="797EEE98" w:rsidR="00C96252" w:rsidRDefault="00C96252" w:rsidP="00210242">
            <w:pPr>
              <w:pStyle w:val="TableText"/>
              <w:numPr>
                <w:ilvl w:val="1"/>
                <w:numId w:val="13"/>
              </w:numPr>
              <w:ind w:left="700"/>
            </w:pPr>
            <w:r>
              <w:t xml:space="preserve">posters promoting zero tolerance of Violence/Aggression/Abuse of staff in place across all hospital sites and supported by Trust Social media messaging. </w:t>
            </w:r>
          </w:p>
          <w:p w14:paraId="0078AB4E" w14:textId="77777777" w:rsidR="002572DF" w:rsidRDefault="002572DF" w:rsidP="00210242">
            <w:pPr>
              <w:pStyle w:val="TableText"/>
              <w:numPr>
                <w:ilvl w:val="1"/>
                <w:numId w:val="13"/>
              </w:numPr>
              <w:ind w:left="700"/>
            </w:pPr>
            <w:r>
              <w:t>P</w:t>
            </w:r>
            <w:r w:rsidRPr="00F165ED">
              <w:t xml:space="preserve">rinciples have been embedded in </w:t>
            </w:r>
            <w:r w:rsidRPr="00F165ED">
              <w:rPr>
                <w:b/>
                <w:bCs/>
              </w:rPr>
              <w:t>HR policies and practice</w:t>
            </w:r>
            <w:r w:rsidRPr="00F165ED">
              <w:t xml:space="preserve">, with a focus on </w:t>
            </w:r>
            <w:r w:rsidRPr="00F165ED">
              <w:rPr>
                <w:b/>
                <w:bCs/>
              </w:rPr>
              <w:t>safety, equity, and dignity</w:t>
            </w:r>
            <w:r w:rsidRPr="00F165ED">
              <w:t xml:space="preserve">. This includes clear </w:t>
            </w:r>
            <w:r w:rsidRPr="00F165ED">
              <w:rPr>
                <w:b/>
                <w:bCs/>
              </w:rPr>
              <w:t>reporting mechanisms</w:t>
            </w:r>
            <w:r w:rsidRPr="00F165ED">
              <w:t xml:space="preserve"> and support for staff who experience or witness unacceptable behaviour</w:t>
            </w:r>
            <w:r>
              <w:t>.</w:t>
            </w:r>
          </w:p>
          <w:p w14:paraId="30508822" w14:textId="77777777" w:rsidR="002572DF" w:rsidRDefault="002572DF" w:rsidP="00210242">
            <w:pPr>
              <w:pStyle w:val="TableText"/>
              <w:numPr>
                <w:ilvl w:val="1"/>
                <w:numId w:val="13"/>
              </w:numPr>
              <w:ind w:left="700"/>
            </w:pPr>
            <w:r>
              <w:t xml:space="preserve">The campaign was linked to broader EDI initiatives, such as </w:t>
            </w:r>
            <w:r w:rsidRPr="007A5195">
              <w:rPr>
                <w:b/>
                <w:bCs/>
              </w:rPr>
              <w:t>Black History Month</w:t>
            </w:r>
            <w:r>
              <w:t xml:space="preserve"> activities including racism, </w:t>
            </w:r>
            <w:r w:rsidRPr="002A39DF">
              <w:rPr>
                <w:b/>
                <w:bCs/>
              </w:rPr>
              <w:t>staff network events</w:t>
            </w:r>
            <w:r>
              <w:t xml:space="preserve">, </w:t>
            </w:r>
            <w:r w:rsidRPr="007A5195">
              <w:rPr>
                <w:b/>
                <w:bCs/>
              </w:rPr>
              <w:t>and cultural celebrations</w:t>
            </w:r>
            <w:r>
              <w:t>, reinforcing the Trust’s stance against all forms of discrimination and promoting a culture of respect.</w:t>
            </w:r>
          </w:p>
          <w:p w14:paraId="10499EEB" w14:textId="77777777" w:rsidR="002572DF" w:rsidRDefault="002572DF" w:rsidP="002572DF">
            <w:pPr>
              <w:pStyle w:val="TableText"/>
              <w:ind w:left="1440"/>
            </w:pPr>
          </w:p>
          <w:p w14:paraId="0E0098A2" w14:textId="5C960129" w:rsidR="00C96252" w:rsidRPr="00ED6ADA" w:rsidRDefault="00C96252" w:rsidP="00ED6ADA">
            <w:pPr>
              <w:pStyle w:val="TableText"/>
              <w:rPr>
                <w:color w:val="auto"/>
              </w:rPr>
            </w:pPr>
            <w:r>
              <w:t xml:space="preserve">The Trust Violence and Aggression Policy </w:t>
            </w:r>
            <w:proofErr w:type="gramStart"/>
            <w:r>
              <w:t>has</w:t>
            </w:r>
            <w:proofErr w:type="gramEnd"/>
            <w:r>
              <w:t xml:space="preserve"> been refreshed (ratified in Dec 25) and includes specific reference to staff with protected characteristics. Policy </w:t>
            </w:r>
            <w:proofErr w:type="gramStart"/>
            <w:r>
              <w:t>launch</w:t>
            </w:r>
            <w:proofErr w:type="gramEnd"/>
            <w:r>
              <w:t xml:space="preserve"> planned for Jan 26</w:t>
            </w:r>
            <w:r w:rsidRPr="00ED6ADA">
              <w:rPr>
                <w:color w:val="auto"/>
              </w:rPr>
              <w:t>, to include refresh of zero tolerance campaign</w:t>
            </w:r>
            <w:r w:rsidR="00757868" w:rsidRPr="00ED6ADA">
              <w:rPr>
                <w:color w:val="auto"/>
              </w:rPr>
              <w:t>, reporting and staff support.</w:t>
            </w:r>
            <w:r w:rsidR="00ED6ADA" w:rsidRPr="00ED6ADA">
              <w:rPr>
                <w:color w:val="auto"/>
              </w:rPr>
              <w:t xml:space="preserve"> Key updates include the following. </w:t>
            </w:r>
          </w:p>
          <w:p w14:paraId="0C333F00" w14:textId="50308C33" w:rsidR="00757868" w:rsidRPr="00ED6ADA" w:rsidRDefault="00757868" w:rsidP="00210242">
            <w:pPr>
              <w:pStyle w:val="TableText"/>
              <w:numPr>
                <w:ilvl w:val="0"/>
                <w:numId w:val="13"/>
              </w:numPr>
              <w:rPr>
                <w:color w:val="auto"/>
              </w:rPr>
            </w:pPr>
            <w:r w:rsidRPr="00ED6ADA">
              <w:rPr>
                <w:color w:val="auto"/>
              </w:rPr>
              <w:t>Increased focus on support for staff following an incident.</w:t>
            </w:r>
          </w:p>
          <w:p w14:paraId="7597C18B" w14:textId="4091BFF7" w:rsidR="00BF187B" w:rsidRPr="00ED6ADA" w:rsidRDefault="00BF187B" w:rsidP="00210242">
            <w:pPr>
              <w:pStyle w:val="TableText"/>
              <w:numPr>
                <w:ilvl w:val="0"/>
                <w:numId w:val="13"/>
              </w:numPr>
              <w:rPr>
                <w:color w:val="auto"/>
              </w:rPr>
            </w:pPr>
            <w:r w:rsidRPr="00ED6ADA">
              <w:rPr>
                <w:color w:val="auto"/>
              </w:rPr>
              <w:t>Introduction of Sanction Cards</w:t>
            </w:r>
            <w:r w:rsidR="00DE4F54" w:rsidRPr="00ED6ADA">
              <w:rPr>
                <w:color w:val="auto"/>
              </w:rPr>
              <w:t xml:space="preserve"> </w:t>
            </w:r>
            <w:r w:rsidR="003448B9" w:rsidRPr="00ED6ADA">
              <w:rPr>
                <w:color w:val="auto"/>
              </w:rPr>
              <w:t>–</w:t>
            </w:r>
            <w:r w:rsidRPr="00ED6ADA">
              <w:rPr>
                <w:color w:val="auto"/>
              </w:rPr>
              <w:t xml:space="preserve"> a </w:t>
            </w:r>
            <w:proofErr w:type="gramStart"/>
            <w:r w:rsidRPr="00ED6ADA">
              <w:rPr>
                <w:color w:val="auto"/>
              </w:rPr>
              <w:t>Yellow</w:t>
            </w:r>
            <w:proofErr w:type="gramEnd"/>
            <w:r w:rsidRPr="00ED6ADA">
              <w:rPr>
                <w:color w:val="auto"/>
              </w:rPr>
              <w:t xml:space="preserve"> card represents a formal written warning</w:t>
            </w:r>
            <w:r w:rsidR="00DE4F54" w:rsidRPr="00ED6ADA">
              <w:rPr>
                <w:color w:val="auto"/>
              </w:rPr>
              <w:t xml:space="preserve"> for unacceptable behaviour and </w:t>
            </w:r>
            <w:proofErr w:type="gramStart"/>
            <w:r w:rsidR="00DE4F54" w:rsidRPr="00ED6ADA">
              <w:rPr>
                <w:color w:val="auto"/>
              </w:rPr>
              <w:t>Red</w:t>
            </w:r>
            <w:proofErr w:type="gramEnd"/>
            <w:r w:rsidR="00DE4F54" w:rsidRPr="00ED6ADA">
              <w:rPr>
                <w:color w:val="auto"/>
              </w:rPr>
              <w:t xml:space="preserve"> card issued for continuing or serious inappropriate behaviour </w:t>
            </w:r>
            <w:proofErr w:type="gramStart"/>
            <w:r w:rsidR="00DE4F54" w:rsidRPr="00ED6ADA">
              <w:rPr>
                <w:color w:val="auto"/>
              </w:rPr>
              <w:t>( may</w:t>
            </w:r>
            <w:proofErr w:type="gramEnd"/>
            <w:r w:rsidR="00DE4F54" w:rsidRPr="00ED6ADA">
              <w:rPr>
                <w:color w:val="auto"/>
              </w:rPr>
              <w:t xml:space="preserve"> result in exclusion to </w:t>
            </w:r>
            <w:proofErr w:type="spellStart"/>
            <w:proofErr w:type="gramStart"/>
            <w:r w:rsidR="00DE4F54" w:rsidRPr="00ED6ADA">
              <w:rPr>
                <w:color w:val="auto"/>
              </w:rPr>
              <w:t>non emergency</w:t>
            </w:r>
            <w:proofErr w:type="spellEnd"/>
            <w:proofErr w:type="gramEnd"/>
            <w:r w:rsidR="00DE4F54" w:rsidRPr="00ED6ADA">
              <w:rPr>
                <w:color w:val="auto"/>
              </w:rPr>
              <w:t xml:space="preserve"> care).</w:t>
            </w:r>
            <w:r w:rsidRPr="00ED6ADA">
              <w:rPr>
                <w:color w:val="auto"/>
              </w:rPr>
              <w:t xml:space="preserve"> </w:t>
            </w:r>
          </w:p>
          <w:p w14:paraId="461ECE0E" w14:textId="77777777" w:rsidR="002572DF" w:rsidRDefault="002572DF" w:rsidP="00AE5CE0">
            <w:pPr>
              <w:pStyle w:val="TableText"/>
            </w:pPr>
          </w:p>
          <w:p w14:paraId="5121B16B" w14:textId="6F315BF5" w:rsidR="00AE5CE0" w:rsidRDefault="00AE5CE0" w:rsidP="00AE5CE0">
            <w:pPr>
              <w:pStyle w:val="TableText"/>
            </w:pPr>
            <w:r>
              <w:t xml:space="preserve">Recognising that the Trust continues to be below averages across these specific WRES and WDES metrics, action taken includes the following. </w:t>
            </w:r>
          </w:p>
          <w:p w14:paraId="4FF4F945" w14:textId="66788FC4" w:rsidR="00C96252" w:rsidRDefault="00C96252" w:rsidP="00210242">
            <w:pPr>
              <w:pStyle w:val="TableText"/>
              <w:numPr>
                <w:ilvl w:val="0"/>
                <w:numId w:val="13"/>
              </w:numPr>
            </w:pPr>
            <w:r>
              <w:t>Increasing visibility of staff experience of abuse, harassment, bullying and physical violence is ongoing via communication channels and Trust Governance Structures. This includes the following.</w:t>
            </w:r>
          </w:p>
          <w:p w14:paraId="66735CEF" w14:textId="4FC9B8C6" w:rsidR="00C96252" w:rsidRDefault="00C96252" w:rsidP="00210242">
            <w:pPr>
              <w:pStyle w:val="TableText"/>
              <w:numPr>
                <w:ilvl w:val="1"/>
                <w:numId w:val="13"/>
              </w:numPr>
            </w:pPr>
            <w:r>
              <w:t xml:space="preserve">Reporting of incidents against staff from patients and members of the public has begun to be shared via the Violence and Aggression </w:t>
            </w:r>
            <w:r>
              <w:lastRenderedPageBreak/>
              <w:t>Group, with formal reporting to be established in early 2026</w:t>
            </w:r>
          </w:p>
          <w:p w14:paraId="1417CB95" w14:textId="32FA0FF6" w:rsidR="00C96252" w:rsidRDefault="00C96252" w:rsidP="00210242">
            <w:pPr>
              <w:pStyle w:val="TableText"/>
              <w:numPr>
                <w:ilvl w:val="1"/>
                <w:numId w:val="13"/>
              </w:numPr>
            </w:pPr>
            <w:r>
              <w:t xml:space="preserve">Reporting of ER case work in relation to </w:t>
            </w:r>
            <w:proofErr w:type="gramStart"/>
            <w:r>
              <w:t>staff on staff</w:t>
            </w:r>
            <w:proofErr w:type="gramEnd"/>
            <w:r>
              <w:t xml:space="preserve"> incidents is reported via People Dashboards. This includes incidents of Bullying and </w:t>
            </w:r>
            <w:r w:rsidR="00D43EFC">
              <w:t>Harassment</w:t>
            </w:r>
            <w:r>
              <w:t>.</w:t>
            </w:r>
          </w:p>
          <w:p w14:paraId="1F67B577" w14:textId="69DB7973" w:rsidR="00C96252" w:rsidRDefault="00C96252" w:rsidP="00210242">
            <w:pPr>
              <w:pStyle w:val="TableText"/>
              <w:numPr>
                <w:ilvl w:val="1"/>
                <w:numId w:val="13"/>
              </w:numPr>
            </w:pPr>
            <w:r>
              <w:t xml:space="preserve">Staff stories are embedded in the Board Level People Committee and have included experiences from staff with protected characteristics within the last 12 months. </w:t>
            </w:r>
          </w:p>
          <w:p w14:paraId="4BF54563" w14:textId="77777777" w:rsidR="00255D8F" w:rsidRDefault="00255D8F" w:rsidP="0041388D">
            <w:pPr>
              <w:pStyle w:val="TableText"/>
            </w:pPr>
          </w:p>
          <w:p w14:paraId="13EBDB91" w14:textId="311003C7" w:rsidR="00255D8F" w:rsidRDefault="00C96252" w:rsidP="00210242">
            <w:pPr>
              <w:pStyle w:val="TableText"/>
              <w:numPr>
                <w:ilvl w:val="0"/>
                <w:numId w:val="13"/>
              </w:numPr>
            </w:pPr>
            <w:r>
              <w:t xml:space="preserve">The Trust completes the quarterly Leadership Equality Assurance Framework </w:t>
            </w:r>
            <w:proofErr w:type="spellStart"/>
            <w:r>
              <w:t>self assessment</w:t>
            </w:r>
            <w:proofErr w:type="spellEnd"/>
            <w:r>
              <w:t xml:space="preserve"> against the NHS England High Impact Actions. All local actions identified are included in the Trusts </w:t>
            </w:r>
            <w:r w:rsidR="00D43EFC">
              <w:t>Integrated</w:t>
            </w:r>
            <w:r>
              <w:t xml:space="preserve"> EDI action plan for workforce that is monitored via the Trust People and Culture Sub-Committee. </w:t>
            </w:r>
          </w:p>
          <w:p w14:paraId="1E342725" w14:textId="77777777" w:rsidR="00255D8F" w:rsidRDefault="00255D8F" w:rsidP="0041388D">
            <w:pPr>
              <w:pStyle w:val="TableText"/>
            </w:pPr>
          </w:p>
          <w:p w14:paraId="4AE37918" w14:textId="4208BE10" w:rsidR="008504EF" w:rsidRDefault="001E38D9" w:rsidP="00210242">
            <w:pPr>
              <w:pStyle w:val="TableText"/>
              <w:numPr>
                <w:ilvl w:val="0"/>
                <w:numId w:val="13"/>
              </w:numPr>
            </w:pPr>
            <w:r w:rsidRPr="002572DF">
              <w:t>ESR data on stress and anxiety-related absences</w:t>
            </w:r>
            <w:r w:rsidRPr="00B621DA">
              <w:t xml:space="preserve"> </w:t>
            </w:r>
            <w:r w:rsidR="002572DF">
              <w:t>continues to be</w:t>
            </w:r>
            <w:r w:rsidRPr="00B621DA">
              <w:t xml:space="preserve"> used to monitor workforce wellbeing</w:t>
            </w:r>
            <w:r>
              <w:t xml:space="preserve">. </w:t>
            </w:r>
            <w:r w:rsidRPr="001E5254">
              <w:t>Wellbeing</w:t>
            </w:r>
            <w:r w:rsidR="002572DF">
              <w:t>, with triangulation with</w:t>
            </w:r>
            <w:r w:rsidRPr="001E5254">
              <w:t xml:space="preserve"> </w:t>
            </w:r>
            <w:r w:rsidR="002572DF">
              <w:t>wider workforce information (</w:t>
            </w:r>
            <w:proofErr w:type="spellStart"/>
            <w:r w:rsidR="002572DF">
              <w:t>ie</w:t>
            </w:r>
            <w:proofErr w:type="spellEnd"/>
            <w:r w:rsidR="002572DF">
              <w:t xml:space="preserve">. FTSU, </w:t>
            </w:r>
            <w:proofErr w:type="gramStart"/>
            <w:r w:rsidR="002572DF">
              <w:t>OHWB )</w:t>
            </w:r>
            <w:proofErr w:type="gramEnd"/>
            <w:r w:rsidR="002572DF">
              <w:t xml:space="preserve"> in development to further </w:t>
            </w:r>
            <w:r w:rsidRPr="001E5254">
              <w:t xml:space="preserve">inform HR teams of key issues/hot spots identified through the data. </w:t>
            </w:r>
          </w:p>
          <w:p w14:paraId="327E2D3D" w14:textId="77777777" w:rsidR="003448B9" w:rsidRDefault="003448B9" w:rsidP="00C274FE"/>
          <w:p w14:paraId="5CD87F6C" w14:textId="67A140FE" w:rsidR="00AE5CE0" w:rsidRDefault="00AE5CE0" w:rsidP="00C274FE">
            <w:pPr>
              <w:pStyle w:val="TableText"/>
            </w:pPr>
            <w:r>
              <w:t xml:space="preserve">The Trust continues to work in partnership with the Enabled and REACH Staff Networks, supporting them to develop network priorities in line with data and involving them in Trust wide action planning and delivery.  </w:t>
            </w:r>
          </w:p>
          <w:p w14:paraId="06F81AAA" w14:textId="09E338B7" w:rsidR="0085705A" w:rsidRPr="0085705A" w:rsidRDefault="0085705A" w:rsidP="00C274FE">
            <w:pPr>
              <w:pStyle w:val="TableText"/>
              <w:ind w:left="720"/>
              <w:rPr>
                <w:color w:val="FF0000"/>
              </w:rPr>
            </w:pPr>
          </w:p>
          <w:p w14:paraId="4B622E10" w14:textId="77777777" w:rsidR="0085705A" w:rsidRDefault="0085705A" w:rsidP="0085705A">
            <w:pPr>
              <w:pStyle w:val="TableText"/>
              <w:ind w:left="720"/>
            </w:pPr>
          </w:p>
          <w:p w14:paraId="2D9A5414" w14:textId="77777777" w:rsidR="003448B9" w:rsidRDefault="003448B9" w:rsidP="003448B9">
            <w:pPr>
              <w:pStyle w:val="ListParagraph"/>
            </w:pPr>
          </w:p>
          <w:p w14:paraId="0D94815F" w14:textId="77777777" w:rsidR="00BB480F" w:rsidRPr="009D1CC6" w:rsidRDefault="00BB480F" w:rsidP="0087548A">
            <w:pPr>
              <w:pStyle w:val="TableText"/>
            </w:pPr>
          </w:p>
        </w:tc>
        <w:tc>
          <w:tcPr>
            <w:tcW w:w="1134" w:type="dxa"/>
          </w:tcPr>
          <w:p w14:paraId="1533C366" w14:textId="764D670E" w:rsidR="00BB480F" w:rsidRPr="009D1CC6" w:rsidRDefault="002572DF" w:rsidP="002572DF">
            <w:pPr>
              <w:pStyle w:val="TableText"/>
              <w:jc w:val="center"/>
            </w:pPr>
            <w:r>
              <w:lastRenderedPageBreak/>
              <w:t>2</w:t>
            </w:r>
          </w:p>
        </w:tc>
        <w:tc>
          <w:tcPr>
            <w:tcW w:w="2471" w:type="dxa"/>
          </w:tcPr>
          <w:p w14:paraId="0D5EFB65" w14:textId="55438AAC" w:rsidR="006440D3" w:rsidRDefault="00432559" w:rsidP="0087548A">
            <w:pPr>
              <w:pStyle w:val="TableText"/>
            </w:pPr>
            <w:r>
              <w:t>Deputy Chief People Officer</w:t>
            </w:r>
          </w:p>
          <w:p w14:paraId="71B1FDB8" w14:textId="77777777" w:rsidR="006440D3" w:rsidRDefault="006440D3" w:rsidP="0087548A">
            <w:pPr>
              <w:pStyle w:val="TableText"/>
            </w:pPr>
          </w:p>
          <w:p w14:paraId="72FDAA42" w14:textId="77777777" w:rsidR="006440D3" w:rsidRDefault="006440D3" w:rsidP="0087548A">
            <w:pPr>
              <w:pStyle w:val="TableText"/>
            </w:pPr>
          </w:p>
          <w:p w14:paraId="7870377A" w14:textId="77777777" w:rsidR="006440D3" w:rsidRDefault="006440D3" w:rsidP="0087548A">
            <w:pPr>
              <w:pStyle w:val="TableText"/>
            </w:pPr>
          </w:p>
          <w:p w14:paraId="0F3D25BD" w14:textId="77777777" w:rsidR="006440D3" w:rsidRDefault="006440D3" w:rsidP="0087548A">
            <w:pPr>
              <w:pStyle w:val="TableText"/>
            </w:pPr>
          </w:p>
          <w:p w14:paraId="76178EF1" w14:textId="77777777" w:rsidR="006440D3" w:rsidRDefault="006440D3" w:rsidP="0087548A">
            <w:pPr>
              <w:pStyle w:val="TableText"/>
            </w:pPr>
          </w:p>
          <w:p w14:paraId="456C2B18" w14:textId="77777777" w:rsidR="006440D3" w:rsidRDefault="006440D3" w:rsidP="0087548A">
            <w:pPr>
              <w:pStyle w:val="TableText"/>
            </w:pPr>
          </w:p>
          <w:p w14:paraId="5666F200" w14:textId="77777777" w:rsidR="006440D3" w:rsidRDefault="006440D3" w:rsidP="0087548A">
            <w:pPr>
              <w:pStyle w:val="TableText"/>
            </w:pPr>
          </w:p>
          <w:p w14:paraId="2AF0C58E" w14:textId="77777777" w:rsidR="006440D3" w:rsidRDefault="006440D3" w:rsidP="0087548A">
            <w:pPr>
              <w:pStyle w:val="TableText"/>
            </w:pPr>
          </w:p>
          <w:p w14:paraId="32EE4335" w14:textId="77777777" w:rsidR="006440D3" w:rsidRDefault="006440D3" w:rsidP="0087548A">
            <w:pPr>
              <w:pStyle w:val="TableText"/>
            </w:pPr>
          </w:p>
          <w:p w14:paraId="049DEA1F" w14:textId="77777777" w:rsidR="006440D3" w:rsidRDefault="006440D3" w:rsidP="0087548A">
            <w:pPr>
              <w:pStyle w:val="TableText"/>
            </w:pPr>
          </w:p>
          <w:p w14:paraId="6AE686CE" w14:textId="77777777" w:rsidR="006440D3" w:rsidRDefault="006440D3" w:rsidP="0087548A">
            <w:pPr>
              <w:pStyle w:val="TableText"/>
            </w:pPr>
          </w:p>
          <w:p w14:paraId="4385BBC3" w14:textId="77777777" w:rsidR="006440D3" w:rsidRDefault="006440D3" w:rsidP="0087548A">
            <w:pPr>
              <w:pStyle w:val="TableText"/>
            </w:pPr>
          </w:p>
          <w:p w14:paraId="54D8843A" w14:textId="77777777" w:rsidR="006440D3" w:rsidRDefault="006440D3" w:rsidP="0087548A">
            <w:pPr>
              <w:pStyle w:val="TableText"/>
            </w:pPr>
          </w:p>
          <w:p w14:paraId="5CDB0948" w14:textId="77777777" w:rsidR="006440D3" w:rsidRDefault="006440D3" w:rsidP="0087548A">
            <w:pPr>
              <w:pStyle w:val="TableText"/>
            </w:pPr>
          </w:p>
          <w:p w14:paraId="37FB6CE7" w14:textId="77777777" w:rsidR="006440D3" w:rsidRDefault="006440D3" w:rsidP="0087548A">
            <w:pPr>
              <w:pStyle w:val="TableText"/>
            </w:pPr>
          </w:p>
          <w:p w14:paraId="7E7BF9A6" w14:textId="77777777" w:rsidR="006440D3" w:rsidRDefault="006440D3" w:rsidP="0087548A">
            <w:pPr>
              <w:pStyle w:val="TableText"/>
            </w:pPr>
          </w:p>
          <w:p w14:paraId="622CE232" w14:textId="77777777" w:rsidR="006440D3" w:rsidRDefault="006440D3" w:rsidP="0087548A">
            <w:pPr>
              <w:pStyle w:val="TableText"/>
            </w:pPr>
          </w:p>
          <w:p w14:paraId="0479ABE4" w14:textId="77777777" w:rsidR="006440D3" w:rsidRDefault="006440D3" w:rsidP="0087548A">
            <w:pPr>
              <w:pStyle w:val="TableText"/>
            </w:pPr>
          </w:p>
          <w:p w14:paraId="25E8AFB9" w14:textId="77777777" w:rsidR="006440D3" w:rsidRDefault="006440D3" w:rsidP="0087548A">
            <w:pPr>
              <w:pStyle w:val="TableText"/>
            </w:pPr>
          </w:p>
          <w:p w14:paraId="02E6EB4F" w14:textId="77777777" w:rsidR="006440D3" w:rsidRDefault="006440D3" w:rsidP="0087548A">
            <w:pPr>
              <w:pStyle w:val="TableText"/>
            </w:pPr>
          </w:p>
          <w:p w14:paraId="587F931C" w14:textId="77777777" w:rsidR="006440D3" w:rsidRDefault="006440D3" w:rsidP="0087548A">
            <w:pPr>
              <w:pStyle w:val="TableText"/>
            </w:pPr>
          </w:p>
          <w:p w14:paraId="3ACF36A6" w14:textId="77777777" w:rsidR="006440D3" w:rsidRDefault="006440D3" w:rsidP="0087548A">
            <w:pPr>
              <w:pStyle w:val="TableText"/>
            </w:pPr>
          </w:p>
          <w:p w14:paraId="17D3711A" w14:textId="77777777" w:rsidR="006440D3" w:rsidRDefault="006440D3" w:rsidP="0087548A">
            <w:pPr>
              <w:pStyle w:val="TableText"/>
            </w:pPr>
          </w:p>
          <w:p w14:paraId="05EBD868" w14:textId="77777777" w:rsidR="006440D3" w:rsidRDefault="006440D3" w:rsidP="0087548A">
            <w:pPr>
              <w:pStyle w:val="TableText"/>
            </w:pPr>
          </w:p>
          <w:p w14:paraId="5D1D0618" w14:textId="77777777" w:rsidR="008F4EE4" w:rsidRDefault="008F4EE4" w:rsidP="0087548A">
            <w:pPr>
              <w:pStyle w:val="TableText"/>
            </w:pPr>
          </w:p>
          <w:p w14:paraId="4FF08DDF" w14:textId="1F6A6F45" w:rsidR="00432559" w:rsidRDefault="00432559" w:rsidP="00432559">
            <w:pPr>
              <w:pStyle w:val="TableText"/>
            </w:pPr>
            <w:r>
              <w:t>Staff Experience and OD Coordinator - Inclusion</w:t>
            </w:r>
          </w:p>
          <w:p w14:paraId="4778DADD" w14:textId="77777777" w:rsidR="008F4EE4" w:rsidRDefault="008F4EE4" w:rsidP="0087548A">
            <w:pPr>
              <w:pStyle w:val="TableText"/>
            </w:pPr>
          </w:p>
          <w:p w14:paraId="36EB9A1D" w14:textId="77777777" w:rsidR="008F4EE4" w:rsidRDefault="008F4EE4" w:rsidP="0087548A">
            <w:pPr>
              <w:pStyle w:val="TableText"/>
            </w:pPr>
          </w:p>
          <w:p w14:paraId="5FCF32C9" w14:textId="77777777" w:rsidR="008F4EE4" w:rsidRDefault="008F4EE4" w:rsidP="0087548A">
            <w:pPr>
              <w:pStyle w:val="TableText"/>
            </w:pPr>
          </w:p>
          <w:p w14:paraId="03020878" w14:textId="77777777" w:rsidR="008F4EE4" w:rsidRDefault="008F4EE4" w:rsidP="0087548A">
            <w:pPr>
              <w:pStyle w:val="TableText"/>
            </w:pPr>
          </w:p>
          <w:p w14:paraId="198DA583" w14:textId="77777777" w:rsidR="008F4EE4" w:rsidRDefault="008F4EE4" w:rsidP="0087548A">
            <w:pPr>
              <w:pStyle w:val="TableText"/>
            </w:pPr>
          </w:p>
          <w:p w14:paraId="61BBCB7F" w14:textId="77777777" w:rsidR="008F4EE4" w:rsidRDefault="008F4EE4" w:rsidP="0087548A">
            <w:pPr>
              <w:pStyle w:val="TableText"/>
            </w:pPr>
          </w:p>
          <w:p w14:paraId="793AC8F5" w14:textId="77777777" w:rsidR="008F4EE4" w:rsidRDefault="008F4EE4" w:rsidP="0087548A">
            <w:pPr>
              <w:pStyle w:val="TableText"/>
            </w:pPr>
          </w:p>
          <w:p w14:paraId="0FDE11F4" w14:textId="77777777" w:rsidR="008F4EE4" w:rsidRDefault="008F4EE4" w:rsidP="0087548A">
            <w:pPr>
              <w:pStyle w:val="TableText"/>
            </w:pPr>
          </w:p>
          <w:p w14:paraId="2541D57C" w14:textId="77777777" w:rsidR="008F4EE4" w:rsidRDefault="008F4EE4" w:rsidP="0087548A">
            <w:pPr>
              <w:pStyle w:val="TableText"/>
            </w:pPr>
          </w:p>
          <w:p w14:paraId="6C4099AB" w14:textId="77777777" w:rsidR="008F4EE4" w:rsidRDefault="008F4EE4" w:rsidP="0087548A">
            <w:pPr>
              <w:pStyle w:val="TableText"/>
            </w:pPr>
          </w:p>
          <w:p w14:paraId="53CE176E" w14:textId="77777777" w:rsidR="00ED6ADA" w:rsidRDefault="00ED6ADA" w:rsidP="0087548A">
            <w:pPr>
              <w:pStyle w:val="TableText"/>
            </w:pPr>
          </w:p>
          <w:p w14:paraId="11232849" w14:textId="77777777" w:rsidR="00ED6ADA" w:rsidRDefault="00ED6ADA" w:rsidP="0087548A">
            <w:pPr>
              <w:pStyle w:val="TableText"/>
            </w:pPr>
          </w:p>
          <w:p w14:paraId="5A07676E" w14:textId="77777777" w:rsidR="00ED6ADA" w:rsidRDefault="00ED6ADA" w:rsidP="0087548A">
            <w:pPr>
              <w:pStyle w:val="TableText"/>
            </w:pPr>
          </w:p>
          <w:p w14:paraId="436BDA46" w14:textId="6A2CF6DD" w:rsidR="008F4EE4" w:rsidRDefault="002572DF" w:rsidP="0087548A">
            <w:pPr>
              <w:pStyle w:val="TableText"/>
            </w:pPr>
            <w:r>
              <w:t>Violence and Aggression Group</w:t>
            </w:r>
          </w:p>
          <w:p w14:paraId="7CA5A452" w14:textId="77777777" w:rsidR="008F4EE4" w:rsidRDefault="008F4EE4" w:rsidP="0087548A">
            <w:pPr>
              <w:pStyle w:val="TableText"/>
            </w:pPr>
          </w:p>
          <w:p w14:paraId="4B19A146" w14:textId="77777777" w:rsidR="008F4EE4" w:rsidRDefault="008F4EE4" w:rsidP="0087548A">
            <w:pPr>
              <w:pStyle w:val="TableText"/>
            </w:pPr>
          </w:p>
          <w:p w14:paraId="24EB67DC" w14:textId="77777777" w:rsidR="008F4EE4" w:rsidRDefault="008F4EE4" w:rsidP="0087548A">
            <w:pPr>
              <w:pStyle w:val="TableText"/>
            </w:pPr>
          </w:p>
          <w:p w14:paraId="48A03D1D" w14:textId="77777777" w:rsidR="008F4EE4" w:rsidRDefault="008F4EE4" w:rsidP="0087548A">
            <w:pPr>
              <w:pStyle w:val="TableText"/>
            </w:pPr>
          </w:p>
          <w:p w14:paraId="01321C76" w14:textId="336DA22C" w:rsidR="002572DF" w:rsidRDefault="002572DF" w:rsidP="0087548A">
            <w:pPr>
              <w:pStyle w:val="TableText"/>
            </w:pPr>
            <w:r>
              <w:t>Head of HR</w:t>
            </w:r>
          </w:p>
          <w:p w14:paraId="726C3785" w14:textId="77777777" w:rsidR="008F4EE4" w:rsidRDefault="008F4EE4" w:rsidP="0087548A">
            <w:pPr>
              <w:pStyle w:val="TableText"/>
            </w:pPr>
          </w:p>
          <w:p w14:paraId="1A6520F7" w14:textId="77777777" w:rsidR="008F4EE4" w:rsidRDefault="008F4EE4" w:rsidP="0087548A">
            <w:pPr>
              <w:pStyle w:val="TableText"/>
            </w:pPr>
          </w:p>
          <w:p w14:paraId="40B0AC8C" w14:textId="77777777" w:rsidR="008F4EE4" w:rsidRDefault="008F4EE4" w:rsidP="0087548A">
            <w:pPr>
              <w:pStyle w:val="TableText"/>
            </w:pPr>
          </w:p>
          <w:p w14:paraId="15802213" w14:textId="77777777" w:rsidR="002572DF" w:rsidRDefault="002572DF" w:rsidP="0087548A">
            <w:pPr>
              <w:pStyle w:val="TableText"/>
            </w:pPr>
          </w:p>
          <w:p w14:paraId="11003F60" w14:textId="77777777" w:rsidR="002572DF" w:rsidRDefault="002572DF" w:rsidP="0087548A">
            <w:pPr>
              <w:pStyle w:val="TableText"/>
            </w:pPr>
          </w:p>
          <w:p w14:paraId="0290E2F8" w14:textId="77777777" w:rsidR="00ED6ADA" w:rsidRDefault="00ED6ADA" w:rsidP="00ED6ADA">
            <w:pPr>
              <w:pStyle w:val="TableText"/>
            </w:pPr>
            <w:r>
              <w:t>Staff Experience and OD Coordinator - Inclusion</w:t>
            </w:r>
          </w:p>
          <w:p w14:paraId="0E9C9511" w14:textId="77777777" w:rsidR="008F4EE4" w:rsidRDefault="008F4EE4" w:rsidP="0087548A">
            <w:pPr>
              <w:pStyle w:val="TableText"/>
            </w:pPr>
          </w:p>
          <w:p w14:paraId="0DC5FDFD" w14:textId="77777777" w:rsidR="008F4EE4" w:rsidRDefault="008F4EE4" w:rsidP="0087548A">
            <w:pPr>
              <w:pStyle w:val="TableText"/>
            </w:pPr>
          </w:p>
          <w:p w14:paraId="4E6501C4" w14:textId="77777777" w:rsidR="008F4EE4" w:rsidRDefault="008F4EE4" w:rsidP="0087548A">
            <w:pPr>
              <w:pStyle w:val="TableText"/>
            </w:pPr>
          </w:p>
          <w:p w14:paraId="11B0FDE9" w14:textId="77777777" w:rsidR="008F4EE4" w:rsidRDefault="008F4EE4" w:rsidP="0087548A">
            <w:pPr>
              <w:pStyle w:val="TableText"/>
            </w:pPr>
          </w:p>
          <w:p w14:paraId="3671C424" w14:textId="77777777" w:rsidR="008F4EE4" w:rsidRDefault="008F4EE4" w:rsidP="0087548A">
            <w:pPr>
              <w:pStyle w:val="TableText"/>
            </w:pPr>
          </w:p>
          <w:p w14:paraId="792F16C1" w14:textId="27C70BF0" w:rsidR="008F4EE4" w:rsidRDefault="00ED6ADA" w:rsidP="0087548A">
            <w:pPr>
              <w:pStyle w:val="TableText"/>
            </w:pPr>
            <w:r>
              <w:t>Violence and Aggression Group</w:t>
            </w:r>
          </w:p>
          <w:p w14:paraId="3C7CB7CC" w14:textId="77777777" w:rsidR="008F4EE4" w:rsidRDefault="008F4EE4" w:rsidP="0087548A">
            <w:pPr>
              <w:pStyle w:val="TableText"/>
            </w:pPr>
          </w:p>
          <w:p w14:paraId="270C037A" w14:textId="77777777" w:rsidR="00ED6ADA" w:rsidRDefault="00ED6ADA" w:rsidP="0087548A">
            <w:pPr>
              <w:pStyle w:val="TableText"/>
            </w:pPr>
          </w:p>
          <w:p w14:paraId="598A36B1" w14:textId="77777777" w:rsidR="00ED6ADA" w:rsidRDefault="00ED6ADA" w:rsidP="0087548A">
            <w:pPr>
              <w:pStyle w:val="TableText"/>
            </w:pPr>
          </w:p>
          <w:p w14:paraId="1435C401" w14:textId="77777777" w:rsidR="00ED6ADA" w:rsidRDefault="00ED6ADA" w:rsidP="0087548A">
            <w:pPr>
              <w:pStyle w:val="TableText"/>
            </w:pPr>
          </w:p>
          <w:p w14:paraId="007AF5D5" w14:textId="77777777" w:rsidR="00ED6ADA" w:rsidRDefault="00ED6ADA" w:rsidP="0087548A">
            <w:pPr>
              <w:pStyle w:val="TableText"/>
            </w:pPr>
          </w:p>
          <w:p w14:paraId="4269E134" w14:textId="77777777" w:rsidR="00ED6ADA" w:rsidRDefault="00ED6ADA" w:rsidP="0087548A">
            <w:pPr>
              <w:pStyle w:val="TableText"/>
            </w:pPr>
          </w:p>
          <w:p w14:paraId="2DCCFE0D" w14:textId="77777777" w:rsidR="00ED6ADA" w:rsidRDefault="00ED6ADA" w:rsidP="0087548A">
            <w:pPr>
              <w:pStyle w:val="TableText"/>
            </w:pPr>
          </w:p>
          <w:p w14:paraId="66CCEE62" w14:textId="77777777" w:rsidR="00ED6ADA" w:rsidRDefault="00ED6ADA" w:rsidP="0087548A">
            <w:pPr>
              <w:pStyle w:val="TableText"/>
            </w:pPr>
          </w:p>
          <w:p w14:paraId="5DF3E71E" w14:textId="77777777" w:rsidR="00ED6ADA" w:rsidRDefault="00ED6ADA" w:rsidP="0087548A">
            <w:pPr>
              <w:pStyle w:val="TableText"/>
            </w:pPr>
          </w:p>
          <w:p w14:paraId="593E6A5F" w14:textId="77777777" w:rsidR="00ED6ADA" w:rsidRDefault="00ED6ADA" w:rsidP="0087548A">
            <w:pPr>
              <w:pStyle w:val="TableText"/>
            </w:pPr>
          </w:p>
          <w:p w14:paraId="3D18890A" w14:textId="77777777" w:rsidR="00ED6ADA" w:rsidRDefault="00ED6ADA" w:rsidP="0087548A">
            <w:pPr>
              <w:pStyle w:val="TableText"/>
            </w:pPr>
          </w:p>
          <w:p w14:paraId="03E8ACC9" w14:textId="77777777" w:rsidR="00ED6ADA" w:rsidRDefault="00ED6ADA" w:rsidP="0087548A">
            <w:pPr>
              <w:pStyle w:val="TableText"/>
            </w:pPr>
          </w:p>
          <w:p w14:paraId="66651AE4" w14:textId="1D1ECCD6" w:rsidR="002572DF" w:rsidRDefault="002572DF" w:rsidP="0087548A">
            <w:pPr>
              <w:pStyle w:val="TableText"/>
            </w:pPr>
          </w:p>
          <w:p w14:paraId="73FA18D1" w14:textId="77777777" w:rsidR="002572DF" w:rsidRDefault="002572DF" w:rsidP="0087548A">
            <w:pPr>
              <w:pStyle w:val="TableText"/>
            </w:pPr>
          </w:p>
          <w:p w14:paraId="691F909E" w14:textId="77777777" w:rsidR="008F4EE4" w:rsidRDefault="008F4EE4" w:rsidP="0087548A">
            <w:pPr>
              <w:pStyle w:val="TableText"/>
            </w:pPr>
          </w:p>
          <w:p w14:paraId="7EFD420B" w14:textId="77777777" w:rsidR="008F4EE4" w:rsidRDefault="008F4EE4" w:rsidP="0087548A">
            <w:pPr>
              <w:pStyle w:val="TableText"/>
            </w:pPr>
          </w:p>
          <w:p w14:paraId="05B8DE9D" w14:textId="77777777" w:rsidR="008F4EE4" w:rsidRDefault="008F4EE4" w:rsidP="0087548A">
            <w:pPr>
              <w:pStyle w:val="TableText"/>
            </w:pPr>
          </w:p>
          <w:p w14:paraId="618458C5" w14:textId="77777777" w:rsidR="00ED6ADA" w:rsidRDefault="00ED6ADA" w:rsidP="0087548A">
            <w:pPr>
              <w:pStyle w:val="TableText"/>
            </w:pPr>
          </w:p>
          <w:p w14:paraId="7A48A9AB" w14:textId="77777777" w:rsidR="00ED6ADA" w:rsidRDefault="00ED6ADA" w:rsidP="0087548A">
            <w:pPr>
              <w:pStyle w:val="TableText"/>
            </w:pPr>
          </w:p>
          <w:p w14:paraId="0D05D7C8" w14:textId="77777777" w:rsidR="00ED6ADA" w:rsidRDefault="00ED6ADA" w:rsidP="0087548A">
            <w:pPr>
              <w:pStyle w:val="TableText"/>
            </w:pPr>
          </w:p>
          <w:p w14:paraId="2D0B0160" w14:textId="77777777" w:rsidR="00ED6ADA" w:rsidRDefault="00ED6ADA" w:rsidP="0087548A">
            <w:pPr>
              <w:pStyle w:val="TableText"/>
            </w:pPr>
          </w:p>
          <w:p w14:paraId="405E4E25" w14:textId="77777777" w:rsidR="00ED6ADA" w:rsidRDefault="00ED6ADA" w:rsidP="0087548A">
            <w:pPr>
              <w:pStyle w:val="TableText"/>
            </w:pPr>
          </w:p>
          <w:p w14:paraId="144029FC" w14:textId="77777777" w:rsidR="00ED6ADA" w:rsidRDefault="00ED6ADA" w:rsidP="0087548A">
            <w:pPr>
              <w:pStyle w:val="TableText"/>
            </w:pPr>
          </w:p>
          <w:p w14:paraId="70FCD7F6" w14:textId="495D1D77" w:rsidR="008F4EE4" w:rsidRDefault="002572DF" w:rsidP="0087548A">
            <w:pPr>
              <w:pStyle w:val="TableText"/>
            </w:pPr>
            <w:r>
              <w:t>Security Team</w:t>
            </w:r>
          </w:p>
          <w:p w14:paraId="44D48EEA" w14:textId="77777777" w:rsidR="008F4EE4" w:rsidRDefault="008F4EE4" w:rsidP="0087548A">
            <w:pPr>
              <w:pStyle w:val="TableText"/>
            </w:pPr>
          </w:p>
          <w:p w14:paraId="4F600435" w14:textId="77777777" w:rsidR="008F4EE4" w:rsidRDefault="008F4EE4" w:rsidP="0087548A">
            <w:pPr>
              <w:pStyle w:val="TableText"/>
            </w:pPr>
          </w:p>
          <w:p w14:paraId="435E70E0" w14:textId="77777777" w:rsidR="002572DF" w:rsidRDefault="002572DF" w:rsidP="0087548A">
            <w:pPr>
              <w:pStyle w:val="TableText"/>
            </w:pPr>
          </w:p>
          <w:p w14:paraId="618DB066" w14:textId="77777777" w:rsidR="002572DF" w:rsidRDefault="002572DF" w:rsidP="0087548A">
            <w:pPr>
              <w:pStyle w:val="TableText"/>
            </w:pPr>
          </w:p>
          <w:p w14:paraId="2EF2AC4D" w14:textId="77777777" w:rsidR="002572DF" w:rsidRDefault="002572DF" w:rsidP="0087548A">
            <w:pPr>
              <w:pStyle w:val="TableText"/>
            </w:pPr>
          </w:p>
          <w:p w14:paraId="26580918" w14:textId="77777777" w:rsidR="00ED6ADA" w:rsidRDefault="00ED6ADA" w:rsidP="0087548A">
            <w:pPr>
              <w:pStyle w:val="TableText"/>
            </w:pPr>
          </w:p>
          <w:p w14:paraId="74D474A3" w14:textId="6F86EDA7" w:rsidR="002572DF" w:rsidRDefault="002572DF" w:rsidP="0087548A">
            <w:pPr>
              <w:pStyle w:val="TableText"/>
            </w:pPr>
            <w:r>
              <w:t>Head of HR</w:t>
            </w:r>
          </w:p>
          <w:p w14:paraId="1EAED7E8" w14:textId="77777777" w:rsidR="002572DF" w:rsidRDefault="002572DF" w:rsidP="0087548A">
            <w:pPr>
              <w:pStyle w:val="TableText"/>
            </w:pPr>
          </w:p>
          <w:p w14:paraId="66DC1A48" w14:textId="77777777" w:rsidR="002572DF" w:rsidRDefault="002572DF" w:rsidP="0087548A">
            <w:pPr>
              <w:pStyle w:val="TableText"/>
            </w:pPr>
          </w:p>
          <w:p w14:paraId="30AFDAEC" w14:textId="77777777" w:rsidR="002572DF" w:rsidRDefault="002572DF" w:rsidP="0087548A">
            <w:pPr>
              <w:pStyle w:val="TableText"/>
            </w:pPr>
          </w:p>
          <w:p w14:paraId="405DEE1B" w14:textId="77777777" w:rsidR="002572DF" w:rsidRDefault="002572DF" w:rsidP="0087548A">
            <w:pPr>
              <w:pStyle w:val="TableText"/>
            </w:pPr>
          </w:p>
          <w:p w14:paraId="6A16D4FA" w14:textId="77777777" w:rsidR="002572DF" w:rsidRDefault="002572DF" w:rsidP="0087548A">
            <w:pPr>
              <w:pStyle w:val="TableText"/>
            </w:pPr>
            <w:r>
              <w:t>Deputy Chief People Officer</w:t>
            </w:r>
          </w:p>
          <w:p w14:paraId="44BE76D4" w14:textId="77777777" w:rsidR="002572DF" w:rsidRDefault="002572DF" w:rsidP="0087548A">
            <w:pPr>
              <w:pStyle w:val="TableText"/>
            </w:pPr>
          </w:p>
          <w:p w14:paraId="7DCF683D" w14:textId="77777777" w:rsidR="002572DF" w:rsidRDefault="002572DF" w:rsidP="0087548A">
            <w:pPr>
              <w:pStyle w:val="TableText"/>
            </w:pPr>
          </w:p>
          <w:p w14:paraId="78E2752F" w14:textId="77777777" w:rsidR="002572DF" w:rsidRDefault="002572DF" w:rsidP="0087548A">
            <w:pPr>
              <w:pStyle w:val="TableText"/>
            </w:pPr>
          </w:p>
          <w:p w14:paraId="19A4A0DB" w14:textId="77777777" w:rsidR="002572DF" w:rsidRDefault="002572DF" w:rsidP="0087548A">
            <w:pPr>
              <w:pStyle w:val="TableText"/>
            </w:pPr>
          </w:p>
          <w:p w14:paraId="5D5A62A8" w14:textId="77777777" w:rsidR="002572DF" w:rsidRDefault="002572DF" w:rsidP="0087548A">
            <w:pPr>
              <w:pStyle w:val="TableText"/>
            </w:pPr>
          </w:p>
          <w:p w14:paraId="4E41C01E" w14:textId="77777777" w:rsidR="002572DF" w:rsidRDefault="002572DF" w:rsidP="0087548A">
            <w:pPr>
              <w:pStyle w:val="TableText"/>
            </w:pPr>
            <w:r>
              <w:t>EDI Coordinator</w:t>
            </w:r>
          </w:p>
          <w:p w14:paraId="290C6194" w14:textId="77777777" w:rsidR="002572DF" w:rsidRDefault="002572DF" w:rsidP="0087548A">
            <w:pPr>
              <w:pStyle w:val="TableText"/>
            </w:pPr>
          </w:p>
          <w:p w14:paraId="0F85069E" w14:textId="77777777" w:rsidR="002572DF" w:rsidRDefault="002572DF" w:rsidP="0087548A">
            <w:pPr>
              <w:pStyle w:val="TableText"/>
            </w:pPr>
          </w:p>
          <w:p w14:paraId="79888AD7" w14:textId="77777777" w:rsidR="002572DF" w:rsidRDefault="002572DF" w:rsidP="0087548A">
            <w:pPr>
              <w:pStyle w:val="TableText"/>
            </w:pPr>
          </w:p>
          <w:p w14:paraId="0FF11E47" w14:textId="77777777" w:rsidR="002572DF" w:rsidRDefault="002572DF" w:rsidP="0087548A">
            <w:pPr>
              <w:pStyle w:val="TableText"/>
            </w:pPr>
          </w:p>
          <w:p w14:paraId="4D435B3B" w14:textId="77777777" w:rsidR="002572DF" w:rsidRDefault="002572DF" w:rsidP="0087548A">
            <w:pPr>
              <w:pStyle w:val="TableText"/>
            </w:pPr>
          </w:p>
          <w:p w14:paraId="76E52300" w14:textId="77777777" w:rsidR="002572DF" w:rsidRDefault="002572DF" w:rsidP="0087548A">
            <w:pPr>
              <w:pStyle w:val="TableText"/>
            </w:pPr>
          </w:p>
          <w:p w14:paraId="11BF4D30" w14:textId="77777777" w:rsidR="002572DF" w:rsidRDefault="002572DF" w:rsidP="0087548A">
            <w:pPr>
              <w:pStyle w:val="TableText"/>
            </w:pPr>
          </w:p>
          <w:p w14:paraId="154BEE5B" w14:textId="77777777" w:rsidR="002572DF" w:rsidRDefault="002572DF" w:rsidP="0087548A">
            <w:pPr>
              <w:pStyle w:val="TableText"/>
            </w:pPr>
          </w:p>
          <w:p w14:paraId="7DDBE822" w14:textId="03EF44BC" w:rsidR="002572DF" w:rsidRPr="009D1CC6" w:rsidRDefault="002572DF" w:rsidP="0087548A">
            <w:pPr>
              <w:pStyle w:val="TableText"/>
            </w:pPr>
            <w:r>
              <w:t>Head of HR</w:t>
            </w:r>
          </w:p>
        </w:tc>
      </w:tr>
      <w:tr w:rsidR="00900737" w:rsidRPr="009D1CC6" w14:paraId="001D5BB2" w14:textId="77777777" w:rsidTr="00B856E9">
        <w:trPr>
          <w:cantSplit/>
          <w:trHeight w:val="1247"/>
        </w:trPr>
        <w:tc>
          <w:tcPr>
            <w:tcW w:w="1129" w:type="dxa"/>
            <w:vMerge/>
            <w:shd w:val="clear" w:color="auto" w:fill="BDDEFF" w:themeFill="accent1" w:themeFillTint="33"/>
          </w:tcPr>
          <w:p w14:paraId="62B4CAA9" w14:textId="77777777" w:rsidR="00BB480F" w:rsidRPr="009D1CC6" w:rsidRDefault="00BB480F" w:rsidP="00E33027">
            <w:pPr>
              <w:rPr>
                <w:rFonts w:cs="Arial"/>
              </w:rPr>
            </w:pPr>
            <w:bookmarkStart w:id="4" w:name="_Hlk212538084"/>
            <w:bookmarkEnd w:id="3"/>
          </w:p>
        </w:tc>
        <w:tc>
          <w:tcPr>
            <w:tcW w:w="3828" w:type="dxa"/>
            <w:shd w:val="clear" w:color="auto" w:fill="BDDEFF" w:themeFill="accent1" w:themeFillTint="33"/>
          </w:tcPr>
          <w:p w14:paraId="4CCFA4F6" w14:textId="77777777" w:rsidR="00BB480F" w:rsidRPr="009D1CC6" w:rsidRDefault="00BB480F" w:rsidP="00E33027">
            <w:pPr>
              <w:rPr>
                <w:rFonts w:cs="Arial"/>
              </w:rPr>
            </w:pPr>
            <w:r w:rsidRPr="009D1CC6">
              <w:rPr>
                <w:rFonts w:cs="Arial"/>
              </w:rPr>
              <w:t>2C: Staff have access to i</w:t>
            </w:r>
            <w:r w:rsidRPr="009D1CC6">
              <w:rPr>
                <w:rFonts w:cs="Arial"/>
                <w:bCs/>
              </w:rPr>
              <w:t xml:space="preserve">ndependent </w:t>
            </w:r>
            <w:r w:rsidRPr="009D1CC6">
              <w:rPr>
                <w:rFonts w:cs="Arial"/>
              </w:rPr>
              <w:t>support and advice when suffering from stress, abuse, bullying harassment and physical violence from any source</w:t>
            </w:r>
          </w:p>
        </w:tc>
        <w:tc>
          <w:tcPr>
            <w:tcW w:w="5386" w:type="dxa"/>
          </w:tcPr>
          <w:p w14:paraId="72BCBBDF" w14:textId="7A6560A8" w:rsidR="002572DF" w:rsidRDefault="002572DF" w:rsidP="00210242">
            <w:pPr>
              <w:pStyle w:val="TableText"/>
              <w:numPr>
                <w:ilvl w:val="0"/>
                <w:numId w:val="7"/>
              </w:numPr>
            </w:pPr>
            <w:r w:rsidRPr="00B621DA">
              <w:t xml:space="preserve">The Trust currently has </w:t>
            </w:r>
            <w:r w:rsidRPr="0071525F">
              <w:rPr>
                <w:b/>
                <w:bCs/>
              </w:rPr>
              <w:t>7 active staff networks</w:t>
            </w:r>
            <w:r w:rsidRPr="00B621DA">
              <w:t xml:space="preserve"> including the </w:t>
            </w:r>
            <w:r>
              <w:t xml:space="preserve">Armed Forces, </w:t>
            </w:r>
            <w:r w:rsidRPr="00B621DA">
              <w:t xml:space="preserve">Women’s, LGBTQ+, </w:t>
            </w:r>
            <w:r>
              <w:t xml:space="preserve">Parent &amp; </w:t>
            </w:r>
            <w:r w:rsidRPr="00B621DA">
              <w:t xml:space="preserve">Carers, </w:t>
            </w:r>
            <w:r>
              <w:t>REACH (Race, Ethnicity and Cultural Heritage)</w:t>
            </w:r>
            <w:r w:rsidRPr="00B621DA">
              <w:t>, Faith and Belief, and E</w:t>
            </w:r>
            <w:r>
              <w:t xml:space="preserve">NABLED (Enhancing Abilities and Leveraging Disabilities) </w:t>
            </w:r>
            <w:r w:rsidRPr="00B621DA">
              <w:t xml:space="preserve"> </w:t>
            </w:r>
          </w:p>
          <w:p w14:paraId="5DF0A67F" w14:textId="367CBFC6" w:rsidR="002572DF" w:rsidRPr="00561F27" w:rsidRDefault="002572DF" w:rsidP="00210242">
            <w:pPr>
              <w:pStyle w:val="TableText"/>
              <w:numPr>
                <w:ilvl w:val="1"/>
                <w:numId w:val="7"/>
              </w:numPr>
              <w:rPr>
                <w:color w:val="FF0000"/>
              </w:rPr>
            </w:pPr>
            <w:r w:rsidRPr="00B621DA">
              <w:t>all run regular meetings and events providing staff with the opportunity to access support/signposting to wider internal and external support for health and wellbeing.</w:t>
            </w:r>
            <w:r w:rsidR="00561F27">
              <w:t xml:space="preserve"> </w:t>
            </w:r>
            <w:r w:rsidR="00561F27" w:rsidRPr="00932EDF">
              <w:rPr>
                <w:color w:val="auto"/>
              </w:rPr>
              <w:t xml:space="preserve">Network chairs have protected time of one hour per week to </w:t>
            </w:r>
            <w:r w:rsidR="00932EDF" w:rsidRPr="00932EDF">
              <w:rPr>
                <w:color w:val="auto"/>
              </w:rPr>
              <w:t>lead</w:t>
            </w:r>
            <w:r w:rsidR="00561F27" w:rsidRPr="00932EDF">
              <w:rPr>
                <w:color w:val="auto"/>
              </w:rPr>
              <w:t xml:space="preserve"> Staff Network</w:t>
            </w:r>
            <w:r w:rsidR="00932EDF" w:rsidRPr="00932EDF">
              <w:rPr>
                <w:color w:val="auto"/>
              </w:rPr>
              <w:t xml:space="preserve"> activity</w:t>
            </w:r>
            <w:r w:rsidR="00561F27" w:rsidRPr="00932EDF">
              <w:rPr>
                <w:color w:val="auto"/>
              </w:rPr>
              <w:t>.</w:t>
            </w:r>
          </w:p>
          <w:p w14:paraId="74304A33" w14:textId="77777777" w:rsidR="002572DF" w:rsidRDefault="002572DF" w:rsidP="00210242">
            <w:pPr>
              <w:pStyle w:val="ListParagraph"/>
              <w:numPr>
                <w:ilvl w:val="1"/>
                <w:numId w:val="7"/>
              </w:numPr>
            </w:pPr>
            <w:r>
              <w:t xml:space="preserve">Regular </w:t>
            </w:r>
            <w:r w:rsidRPr="001E5254">
              <w:rPr>
                <w:b/>
                <w:bCs/>
              </w:rPr>
              <w:t>drop-in clinics</w:t>
            </w:r>
            <w:r>
              <w:t xml:space="preserve"> were held in the Wellbeing Hub, including sessions for LGBTQ+ staff, carers, and ENABLED members offering a </w:t>
            </w:r>
            <w:r w:rsidRPr="0071525F">
              <w:t>Safe Spaces &amp; Peer Support</w:t>
            </w:r>
            <w:r>
              <w:t xml:space="preserve">. </w:t>
            </w:r>
            <w:r w:rsidRPr="001E5254">
              <w:t>The wellbeing team provide regular on ward drop ins to support key areas impacted by incidents, change or high acuity patients/high stress areas.</w:t>
            </w:r>
          </w:p>
          <w:p w14:paraId="7B9B6E3A" w14:textId="77777777" w:rsidR="002572DF" w:rsidRDefault="002572DF" w:rsidP="00210242">
            <w:pPr>
              <w:pStyle w:val="TableText"/>
              <w:numPr>
                <w:ilvl w:val="1"/>
                <w:numId w:val="7"/>
              </w:numPr>
            </w:pPr>
            <w:r>
              <w:t xml:space="preserve">Networks provided </w:t>
            </w:r>
            <w:r w:rsidRPr="0071525F">
              <w:rPr>
                <w:b/>
                <w:bCs/>
              </w:rPr>
              <w:t>confidential support</w:t>
            </w:r>
            <w:r>
              <w:t xml:space="preserve"> and signposting, encouraging use of services like Freedom to Speak Up, Occupational Health, and the Employee Assistance Programme (EAP).</w:t>
            </w:r>
          </w:p>
          <w:p w14:paraId="16DF99CF" w14:textId="65C6032D" w:rsidR="002572DF" w:rsidRPr="00932EDF" w:rsidRDefault="002572DF" w:rsidP="00210242">
            <w:pPr>
              <w:pStyle w:val="TableText"/>
              <w:numPr>
                <w:ilvl w:val="1"/>
                <w:numId w:val="7"/>
              </w:numPr>
              <w:rPr>
                <w:color w:val="auto"/>
              </w:rPr>
            </w:pPr>
            <w:r>
              <w:t>Meetings held with all network chairs to promote learning across networks.</w:t>
            </w:r>
            <w:r w:rsidR="00D43EFC">
              <w:t xml:space="preserve"> </w:t>
            </w:r>
            <w:r w:rsidR="00D43EFC" w:rsidRPr="00932EDF">
              <w:rPr>
                <w:color w:val="auto"/>
              </w:rPr>
              <w:lastRenderedPageBreak/>
              <w:t>Including a joint approach to National Staff Network Day on 15</w:t>
            </w:r>
            <w:r w:rsidR="00D43EFC" w:rsidRPr="00932EDF">
              <w:rPr>
                <w:color w:val="auto"/>
                <w:vertAlign w:val="superscript"/>
              </w:rPr>
              <w:t>th</w:t>
            </w:r>
            <w:r w:rsidR="00D43EFC" w:rsidRPr="00932EDF">
              <w:rPr>
                <w:color w:val="auto"/>
              </w:rPr>
              <w:t xml:space="preserve"> May 2026</w:t>
            </w:r>
            <w:r w:rsidRPr="00932EDF">
              <w:rPr>
                <w:color w:val="auto"/>
              </w:rPr>
              <w:t xml:space="preserve"> </w:t>
            </w:r>
          </w:p>
          <w:p w14:paraId="68EFC67A" w14:textId="7D0CB589" w:rsidR="00757868" w:rsidRPr="00932EDF" w:rsidRDefault="00757868" w:rsidP="00210242">
            <w:pPr>
              <w:pStyle w:val="TableText"/>
              <w:numPr>
                <w:ilvl w:val="1"/>
                <w:numId w:val="7"/>
              </w:numPr>
              <w:rPr>
                <w:color w:val="auto"/>
              </w:rPr>
            </w:pPr>
            <w:r w:rsidRPr="00932EDF">
              <w:rPr>
                <w:color w:val="auto"/>
              </w:rPr>
              <w:t>All seven staff networks have seen membership increas</w:t>
            </w:r>
            <w:r w:rsidR="00932EDF" w:rsidRPr="00932EDF">
              <w:rPr>
                <w:color w:val="auto"/>
              </w:rPr>
              <w:t>e</w:t>
            </w:r>
            <w:r w:rsidRPr="00932EDF">
              <w:rPr>
                <w:color w:val="auto"/>
              </w:rPr>
              <w:t xml:space="preserve"> in year</w:t>
            </w:r>
            <w:r w:rsidR="00932EDF" w:rsidRPr="00932EDF">
              <w:rPr>
                <w:color w:val="auto"/>
              </w:rPr>
              <w:t xml:space="preserve"> following focused work to increase membership</w:t>
            </w:r>
          </w:p>
          <w:p w14:paraId="75D2A1C0" w14:textId="77777777" w:rsidR="00C274FE" w:rsidRPr="00932EDF" w:rsidRDefault="00C274FE" w:rsidP="00C274FE">
            <w:pPr>
              <w:pStyle w:val="TableText"/>
              <w:ind w:left="1080"/>
              <w:rPr>
                <w:color w:val="auto"/>
              </w:rPr>
            </w:pPr>
          </w:p>
          <w:p w14:paraId="3D9D9638" w14:textId="77777777" w:rsidR="00C274FE" w:rsidRPr="00932EDF" w:rsidRDefault="00C274FE" w:rsidP="00210242">
            <w:pPr>
              <w:pStyle w:val="TableText"/>
              <w:numPr>
                <w:ilvl w:val="0"/>
                <w:numId w:val="7"/>
              </w:numPr>
              <w:rPr>
                <w:color w:val="auto"/>
              </w:rPr>
            </w:pPr>
            <w:r w:rsidRPr="00932EDF">
              <w:rPr>
                <w:color w:val="auto"/>
              </w:rPr>
              <w:t>Staff Networks have been involved in the development / review of policy relevant to their protected groups as appropriate with invitation for Network Chairs to attend Policy Group where required.</w:t>
            </w:r>
          </w:p>
          <w:p w14:paraId="4C3EE5BE" w14:textId="77777777" w:rsidR="002572DF" w:rsidRDefault="002572DF" w:rsidP="002572DF">
            <w:pPr>
              <w:pStyle w:val="TableText"/>
            </w:pPr>
          </w:p>
          <w:p w14:paraId="056870C9" w14:textId="77777777" w:rsidR="00DE4F54" w:rsidRDefault="002572DF" w:rsidP="00210242">
            <w:pPr>
              <w:pStyle w:val="TableText"/>
              <w:numPr>
                <w:ilvl w:val="0"/>
                <w:numId w:val="7"/>
              </w:numPr>
            </w:pPr>
            <w:r w:rsidRPr="00C57045">
              <w:t xml:space="preserve">Staff </w:t>
            </w:r>
            <w:proofErr w:type="gramStart"/>
            <w:r w:rsidRPr="00C57045">
              <w:t>are able to</w:t>
            </w:r>
            <w:proofErr w:type="gramEnd"/>
            <w:r w:rsidRPr="00C57045">
              <w:t xml:space="preserve"> access </w:t>
            </w:r>
            <w:r w:rsidRPr="00C57045">
              <w:rPr>
                <w:b/>
                <w:bCs/>
              </w:rPr>
              <w:t>1:1 advice</w:t>
            </w:r>
            <w:r w:rsidRPr="00C57045">
              <w:t xml:space="preserve">, support and information on any aspects of </w:t>
            </w:r>
            <w:r w:rsidRPr="00C57045">
              <w:rPr>
                <w:b/>
                <w:bCs/>
              </w:rPr>
              <w:t>health and wellbeing through the wellbeing service</w:t>
            </w:r>
            <w:r w:rsidRPr="00C57045">
              <w:t>.</w:t>
            </w:r>
            <w:r>
              <w:t xml:space="preserve"> </w:t>
            </w:r>
          </w:p>
          <w:p w14:paraId="76926084" w14:textId="0914B06E" w:rsidR="009F14B9" w:rsidRDefault="009F14B9" w:rsidP="00210242">
            <w:pPr>
              <w:pStyle w:val="TableText"/>
              <w:numPr>
                <w:ilvl w:val="1"/>
                <w:numId w:val="7"/>
              </w:numPr>
            </w:pPr>
            <w:r>
              <w:t xml:space="preserve">2024/2025 data </w:t>
            </w:r>
            <w:proofErr w:type="gramStart"/>
            <w:r>
              <w:t>indicates</w:t>
            </w:r>
            <w:proofErr w:type="gramEnd"/>
            <w:r>
              <w:t xml:space="preserve"> a 26.2% increase in the number of staff accessing and being supported with </w:t>
            </w:r>
            <w:proofErr w:type="gramStart"/>
            <w:r>
              <w:t>one to one</w:t>
            </w:r>
            <w:proofErr w:type="gramEnd"/>
            <w:r>
              <w:t xml:space="preserve"> support. With the top 3 presenting issues being mental health/anxiety, stress and other </w:t>
            </w:r>
            <w:proofErr w:type="gramStart"/>
            <w:r>
              <w:t>work related</w:t>
            </w:r>
            <w:proofErr w:type="gramEnd"/>
            <w:r>
              <w:t xml:space="preserve"> issues.</w:t>
            </w:r>
          </w:p>
          <w:p w14:paraId="483F5ED5" w14:textId="77777777" w:rsidR="00932EDF" w:rsidRDefault="00932EDF" w:rsidP="00932EDF">
            <w:pPr>
              <w:pStyle w:val="TableText"/>
              <w:ind w:left="1080"/>
            </w:pPr>
          </w:p>
          <w:p w14:paraId="0C52E6B8" w14:textId="032D0338" w:rsidR="009F14B9" w:rsidRDefault="00932EDF" w:rsidP="00210242">
            <w:pPr>
              <w:pStyle w:val="TableText"/>
              <w:numPr>
                <w:ilvl w:val="0"/>
                <w:numId w:val="7"/>
              </w:numPr>
            </w:pPr>
            <w:r>
              <w:t>In addition, Staff have</w:t>
            </w:r>
            <w:r w:rsidR="002572DF">
              <w:t xml:space="preserve"> access to an externally commissioned Employee Assistance Programme. </w:t>
            </w:r>
            <w:r w:rsidR="002572DF" w:rsidRPr="00C57045">
              <w:t xml:space="preserve"> </w:t>
            </w:r>
          </w:p>
          <w:p w14:paraId="058C29D3" w14:textId="259631F1" w:rsidR="009F14B9" w:rsidRDefault="00932EDF" w:rsidP="00210242">
            <w:pPr>
              <w:pStyle w:val="TableText"/>
              <w:numPr>
                <w:ilvl w:val="1"/>
                <w:numId w:val="7"/>
              </w:numPr>
            </w:pPr>
            <w:r>
              <w:t>D</w:t>
            </w:r>
            <w:r w:rsidR="009F14B9">
              <w:t>ata indicating the top 3 presenting issues as anxiety, bereavement and access to services.</w:t>
            </w:r>
          </w:p>
          <w:p w14:paraId="32AB0A61" w14:textId="40F1839D" w:rsidR="002572DF" w:rsidRDefault="002572DF" w:rsidP="00210242">
            <w:pPr>
              <w:pStyle w:val="TableText"/>
              <w:numPr>
                <w:ilvl w:val="0"/>
                <w:numId w:val="7"/>
              </w:numPr>
            </w:pPr>
            <w:r w:rsidRPr="00C57045">
              <w:lastRenderedPageBreak/>
              <w:t>Self-help materials and resources also are available 24/7 within the wellbeing hub at Chester and wellbeing room in E</w:t>
            </w:r>
            <w:r>
              <w:t xml:space="preserve">llesmere </w:t>
            </w:r>
            <w:r w:rsidRPr="00C57045">
              <w:t>Port.</w:t>
            </w:r>
          </w:p>
          <w:p w14:paraId="7D3FD5C1" w14:textId="77777777" w:rsidR="002572DF" w:rsidRDefault="002572DF" w:rsidP="002572DF">
            <w:pPr>
              <w:pStyle w:val="TableText"/>
              <w:rPr>
                <w:rFonts w:eastAsia="Times New Roman" w:cs="Arial"/>
                <w:color w:val="auto"/>
                <w:lang w:eastAsia="en-GB"/>
              </w:rPr>
            </w:pPr>
          </w:p>
          <w:p w14:paraId="5D711FFF" w14:textId="1A10815D" w:rsidR="002572DF" w:rsidRDefault="002572DF" w:rsidP="00210242">
            <w:pPr>
              <w:pStyle w:val="TableText"/>
              <w:numPr>
                <w:ilvl w:val="0"/>
                <w:numId w:val="7"/>
              </w:numPr>
              <w:rPr>
                <w:rFonts w:eastAsia="Times New Roman" w:cs="Arial"/>
                <w:color w:val="auto"/>
                <w:lang w:eastAsia="en-GB"/>
              </w:rPr>
            </w:pPr>
            <w:r>
              <w:rPr>
                <w:rFonts w:eastAsia="Times New Roman" w:cs="Arial"/>
                <w:color w:val="auto"/>
                <w:lang w:eastAsia="en-GB"/>
              </w:rPr>
              <w:t xml:space="preserve">The refreshed Trust Violence and Aggression Policy, strengthens and details the support to be provided to staff following an incident of violence/aggression or abuse. This was </w:t>
            </w:r>
            <w:r w:rsidR="00D55881">
              <w:rPr>
                <w:rFonts w:eastAsia="Times New Roman" w:cs="Arial"/>
                <w:color w:val="auto"/>
                <w:lang w:eastAsia="en-GB"/>
              </w:rPr>
              <w:t>ratified</w:t>
            </w:r>
            <w:r>
              <w:rPr>
                <w:rFonts w:eastAsia="Times New Roman" w:cs="Arial"/>
                <w:color w:val="auto"/>
                <w:lang w:eastAsia="en-GB"/>
              </w:rPr>
              <w:t xml:space="preserve"> in December for launch and monitoring from Jan 26. In the interim all staff reporting an incident o</w:t>
            </w:r>
            <w:r w:rsidR="00932EDF">
              <w:rPr>
                <w:rFonts w:eastAsia="Times New Roman" w:cs="Arial"/>
                <w:color w:val="auto"/>
                <w:lang w:eastAsia="en-GB"/>
              </w:rPr>
              <w:t xml:space="preserve"> </w:t>
            </w:r>
            <w:r>
              <w:rPr>
                <w:rFonts w:eastAsia="Times New Roman" w:cs="Arial"/>
                <w:color w:val="auto"/>
                <w:lang w:eastAsia="en-GB"/>
              </w:rPr>
              <w:t xml:space="preserve">Violence/Aggression/abuse have been contacted via email with support signposting (in addition to local support being provided from managers). </w:t>
            </w:r>
          </w:p>
          <w:p w14:paraId="149851B8" w14:textId="77777777" w:rsidR="003448B9" w:rsidRDefault="003448B9" w:rsidP="003448B9">
            <w:pPr>
              <w:pStyle w:val="ListParagraph"/>
              <w:rPr>
                <w:rFonts w:eastAsia="Times New Roman" w:cs="Arial"/>
                <w:color w:val="auto"/>
                <w:lang w:eastAsia="en-GB"/>
              </w:rPr>
            </w:pPr>
          </w:p>
          <w:p w14:paraId="73BEE4C6" w14:textId="77777777" w:rsidR="002572DF" w:rsidRDefault="002572DF" w:rsidP="00E4185A">
            <w:pPr>
              <w:pStyle w:val="TableText"/>
              <w:rPr>
                <w:rFonts w:eastAsia="Times New Roman" w:cs="Arial"/>
                <w:color w:val="auto"/>
                <w:lang w:eastAsia="en-GB"/>
              </w:rPr>
            </w:pPr>
          </w:p>
          <w:p w14:paraId="6942D983" w14:textId="3E6F7C65" w:rsidR="00793019" w:rsidRPr="00932EDF" w:rsidRDefault="00E4185A" w:rsidP="00210242">
            <w:pPr>
              <w:pStyle w:val="TableText"/>
              <w:numPr>
                <w:ilvl w:val="0"/>
                <w:numId w:val="7"/>
              </w:numPr>
            </w:pPr>
            <w:r w:rsidRPr="008504EF">
              <w:rPr>
                <w:rFonts w:eastAsia="Times New Roman" w:cs="Arial"/>
                <w:color w:val="auto"/>
                <w:lang w:eastAsia="en-GB"/>
              </w:rPr>
              <w:t>The Trust has delivered a range of targeted EDI training sessions throughout 2025</w:t>
            </w:r>
            <w:r w:rsidR="002572DF">
              <w:rPr>
                <w:rFonts w:eastAsia="Times New Roman" w:cs="Arial"/>
                <w:color w:val="auto"/>
                <w:lang w:eastAsia="en-GB"/>
              </w:rPr>
              <w:t xml:space="preserve">, </w:t>
            </w:r>
            <w:r w:rsidR="00793019">
              <w:rPr>
                <w:rFonts w:eastAsia="Times New Roman" w:cs="Arial"/>
                <w:color w:val="auto"/>
                <w:lang w:eastAsia="en-GB"/>
              </w:rPr>
              <w:t xml:space="preserve">to raise awareness of inclusive behaviours, empower staff to challenge poor conduct and embed EDI principles into leadership development. This includes the following. </w:t>
            </w:r>
          </w:p>
          <w:p w14:paraId="1C5212D4" w14:textId="1510881B" w:rsidR="00E4185A" w:rsidRPr="00793019" w:rsidRDefault="00E4185A" w:rsidP="00210242">
            <w:pPr>
              <w:pStyle w:val="TableText"/>
              <w:numPr>
                <w:ilvl w:val="1"/>
                <w:numId w:val="7"/>
              </w:numPr>
            </w:pPr>
            <w:r w:rsidRPr="00793019">
              <w:rPr>
                <w:rFonts w:eastAsia="Times New Roman" w:cs="Arial"/>
                <w:b/>
                <w:bCs/>
                <w:color w:val="auto"/>
                <w:lang w:eastAsia="en-GB"/>
              </w:rPr>
              <w:t>Apprentice EDI Training</w:t>
            </w:r>
            <w:r w:rsidRPr="00793019">
              <w:rPr>
                <w:rFonts w:eastAsia="Times New Roman" w:cs="Arial"/>
                <w:color w:val="auto"/>
                <w:lang w:eastAsia="en-GB"/>
              </w:rPr>
              <w:t>: Delivered in January following a request from the Health Records Team Leader.</w:t>
            </w:r>
          </w:p>
          <w:p w14:paraId="13A910BB" w14:textId="77777777" w:rsidR="00E4185A" w:rsidRPr="00793019" w:rsidRDefault="00E4185A" w:rsidP="00210242">
            <w:pPr>
              <w:pStyle w:val="TableText"/>
              <w:numPr>
                <w:ilvl w:val="1"/>
                <w:numId w:val="7"/>
              </w:numPr>
              <w:rPr>
                <w:rFonts w:eastAsia="Times New Roman" w:cs="Arial"/>
                <w:b/>
                <w:bCs/>
                <w:color w:val="auto"/>
                <w:lang w:eastAsia="en-GB"/>
              </w:rPr>
            </w:pPr>
            <w:r w:rsidRPr="008504EF">
              <w:rPr>
                <w:rFonts w:eastAsia="Times New Roman" w:cs="Arial"/>
                <w:b/>
                <w:bCs/>
                <w:color w:val="auto"/>
                <w:lang w:eastAsia="en-GB"/>
              </w:rPr>
              <w:t>First Line Leaders</w:t>
            </w:r>
            <w:r w:rsidRPr="00793019">
              <w:rPr>
                <w:rFonts w:eastAsia="Times New Roman" w:cs="Arial"/>
                <w:b/>
                <w:bCs/>
                <w:color w:val="auto"/>
                <w:lang w:eastAsia="en-GB"/>
              </w:rPr>
              <w:t>: Received EDI and Staff Networks training in March.</w:t>
            </w:r>
          </w:p>
          <w:p w14:paraId="57F394DF" w14:textId="77777777" w:rsidR="00E4185A" w:rsidRPr="00793019" w:rsidRDefault="00E4185A" w:rsidP="00210242">
            <w:pPr>
              <w:pStyle w:val="TableText"/>
              <w:numPr>
                <w:ilvl w:val="1"/>
                <w:numId w:val="7"/>
              </w:numPr>
              <w:rPr>
                <w:rFonts w:eastAsia="Times New Roman" w:cs="Arial"/>
                <w:b/>
                <w:bCs/>
                <w:color w:val="auto"/>
                <w:lang w:eastAsia="en-GB"/>
              </w:rPr>
            </w:pPr>
            <w:r w:rsidRPr="008504EF">
              <w:rPr>
                <w:rFonts w:eastAsia="Times New Roman" w:cs="Arial"/>
                <w:b/>
                <w:bCs/>
                <w:color w:val="auto"/>
                <w:lang w:eastAsia="en-GB"/>
              </w:rPr>
              <w:lastRenderedPageBreak/>
              <w:t>Aspire Leadership Programme</w:t>
            </w:r>
            <w:r w:rsidRPr="00793019">
              <w:rPr>
                <w:rFonts w:eastAsia="Times New Roman" w:cs="Arial"/>
                <w:b/>
                <w:bCs/>
                <w:color w:val="auto"/>
                <w:lang w:eastAsia="en-GB"/>
              </w:rPr>
              <w:t>: Included EDI modules in May.</w:t>
            </w:r>
          </w:p>
          <w:p w14:paraId="58DF3064" w14:textId="5C165548" w:rsidR="00793019" w:rsidRPr="00932EDF" w:rsidRDefault="00E4185A" w:rsidP="00210242">
            <w:pPr>
              <w:pStyle w:val="TableText"/>
              <w:numPr>
                <w:ilvl w:val="1"/>
                <w:numId w:val="7"/>
              </w:numPr>
              <w:rPr>
                <w:rFonts w:eastAsia="Times New Roman" w:cs="Arial"/>
                <w:b/>
                <w:bCs/>
                <w:color w:val="auto"/>
                <w:lang w:eastAsia="en-GB"/>
              </w:rPr>
            </w:pPr>
            <w:r w:rsidRPr="008504EF">
              <w:rPr>
                <w:rFonts w:eastAsia="Times New Roman" w:cs="Arial"/>
                <w:b/>
                <w:bCs/>
                <w:color w:val="auto"/>
                <w:lang w:eastAsia="en-GB"/>
              </w:rPr>
              <w:t>Therapies Teams</w:t>
            </w:r>
            <w:r w:rsidRPr="00793019">
              <w:rPr>
                <w:rFonts w:eastAsia="Times New Roman" w:cs="Arial"/>
                <w:b/>
                <w:bCs/>
                <w:color w:val="auto"/>
                <w:lang w:eastAsia="en-GB"/>
              </w:rPr>
              <w:t>: Received EDI, Bystander, and Unconscious Bias training throughout September/October.</w:t>
            </w:r>
          </w:p>
          <w:p w14:paraId="47E7EA22" w14:textId="6154FD80" w:rsidR="007F31B1" w:rsidRDefault="00793019" w:rsidP="00210242">
            <w:pPr>
              <w:pStyle w:val="ListParagraph"/>
              <w:numPr>
                <w:ilvl w:val="0"/>
                <w:numId w:val="7"/>
              </w:numPr>
              <w:spacing w:before="100" w:beforeAutospacing="1" w:after="100" w:afterAutospacing="1"/>
            </w:pPr>
            <w:r w:rsidRPr="00793019">
              <w:t>The Trust</w:t>
            </w:r>
            <w:r>
              <w:t xml:space="preserve"> employs a Freedom to Speak Up Guardian and</w:t>
            </w:r>
            <w:r w:rsidRPr="00793019">
              <w:t xml:space="preserve"> continues to strengthen its Freedom to Speak Up </w:t>
            </w:r>
            <w:r w:rsidR="00793E89" w:rsidRPr="00793019">
              <w:t>Champions Network</w:t>
            </w:r>
            <w:r w:rsidR="00793E89" w:rsidRPr="00793E89">
              <w:t xml:space="preserve"> with 70 colleagues now registered. </w:t>
            </w:r>
            <w:r w:rsidRPr="00793E89">
              <w:t xml:space="preserve">The network includes champions from all divisions and </w:t>
            </w:r>
            <w:r>
              <w:t xml:space="preserve">reflects the diversity within the Trusts current workforce. </w:t>
            </w:r>
            <w:r w:rsidR="00793E89" w:rsidRPr="00793E89">
              <w:t>The recent development of local Champion Hubs across the organisation has increased opportunities for peer support and learning. In addition, local themes, trends and barriers to speaking up can be identified and escalated more readily.</w:t>
            </w:r>
          </w:p>
          <w:p w14:paraId="6D56EF5C" w14:textId="77777777" w:rsidR="00BD0E31" w:rsidRDefault="00BD0E31" w:rsidP="00BD0E31">
            <w:pPr>
              <w:pStyle w:val="ListParagraph"/>
              <w:spacing w:before="100" w:beforeAutospacing="1" w:after="100" w:afterAutospacing="1"/>
              <w:ind w:left="360"/>
            </w:pPr>
          </w:p>
          <w:p w14:paraId="54F85CF7" w14:textId="353F871B" w:rsidR="00032EF0" w:rsidRPr="009D1CC6" w:rsidRDefault="00032EF0" w:rsidP="00210242">
            <w:pPr>
              <w:pStyle w:val="ListParagraph"/>
              <w:numPr>
                <w:ilvl w:val="0"/>
                <w:numId w:val="7"/>
              </w:numPr>
              <w:spacing w:before="100" w:beforeAutospacing="1" w:after="100" w:afterAutospacing="1"/>
            </w:pPr>
            <w:r>
              <w:t>Bystander principles are embedded into the Trust Civility handbook which is available as a pocket handbook and e-book on the intranet. Civility training, that includes bystander training has been delivered at Trust level and as part of local training delivered in nursing teams.</w:t>
            </w:r>
          </w:p>
        </w:tc>
        <w:tc>
          <w:tcPr>
            <w:tcW w:w="1134" w:type="dxa"/>
          </w:tcPr>
          <w:p w14:paraId="57134346" w14:textId="4862E26A" w:rsidR="00BB480F" w:rsidRPr="009D1CC6" w:rsidRDefault="00793019" w:rsidP="0087548A">
            <w:pPr>
              <w:pStyle w:val="TableText"/>
            </w:pPr>
            <w:r>
              <w:lastRenderedPageBreak/>
              <w:t>2</w:t>
            </w:r>
          </w:p>
        </w:tc>
        <w:tc>
          <w:tcPr>
            <w:tcW w:w="2471" w:type="dxa"/>
          </w:tcPr>
          <w:p w14:paraId="6D046AE5" w14:textId="77777777" w:rsidR="00932EDF" w:rsidRDefault="00932EDF" w:rsidP="00932EDF">
            <w:pPr>
              <w:pStyle w:val="TableText"/>
            </w:pPr>
            <w:r>
              <w:t>Staff Experience and OD Coordinator - Inclusion</w:t>
            </w:r>
          </w:p>
          <w:p w14:paraId="311E84DC" w14:textId="38D7211F" w:rsidR="00BB480F" w:rsidRDefault="00793019" w:rsidP="0087548A">
            <w:pPr>
              <w:pStyle w:val="TableText"/>
            </w:pPr>
            <w:r>
              <w:t>/ Staff Networks</w:t>
            </w:r>
          </w:p>
          <w:p w14:paraId="07A9C7A2" w14:textId="77777777" w:rsidR="008F4EE4" w:rsidRDefault="008F4EE4" w:rsidP="0087548A">
            <w:pPr>
              <w:pStyle w:val="TableText"/>
            </w:pPr>
          </w:p>
          <w:p w14:paraId="716608F0" w14:textId="77777777" w:rsidR="008F4EE4" w:rsidRDefault="008F4EE4" w:rsidP="0087548A">
            <w:pPr>
              <w:pStyle w:val="TableText"/>
            </w:pPr>
          </w:p>
          <w:p w14:paraId="5EEC097C" w14:textId="77777777" w:rsidR="008F4EE4" w:rsidRDefault="008F4EE4" w:rsidP="0087548A">
            <w:pPr>
              <w:pStyle w:val="TableText"/>
            </w:pPr>
          </w:p>
          <w:p w14:paraId="60D35E18" w14:textId="77777777" w:rsidR="008F4EE4" w:rsidRDefault="008F4EE4" w:rsidP="0087548A">
            <w:pPr>
              <w:pStyle w:val="TableText"/>
            </w:pPr>
          </w:p>
          <w:p w14:paraId="07E9A582" w14:textId="77777777" w:rsidR="008F4EE4" w:rsidRDefault="008F4EE4" w:rsidP="0087548A">
            <w:pPr>
              <w:pStyle w:val="TableText"/>
            </w:pPr>
          </w:p>
          <w:p w14:paraId="2D7B91E7" w14:textId="77777777" w:rsidR="008F4EE4" w:rsidRDefault="008F4EE4" w:rsidP="0087548A">
            <w:pPr>
              <w:pStyle w:val="TableText"/>
            </w:pPr>
          </w:p>
          <w:p w14:paraId="1E67D07C" w14:textId="77777777" w:rsidR="008F4EE4" w:rsidRDefault="008F4EE4" w:rsidP="0087548A">
            <w:pPr>
              <w:pStyle w:val="TableText"/>
            </w:pPr>
          </w:p>
          <w:p w14:paraId="30776072" w14:textId="77777777" w:rsidR="008F4EE4" w:rsidRDefault="008F4EE4" w:rsidP="0087548A">
            <w:pPr>
              <w:pStyle w:val="TableText"/>
            </w:pPr>
          </w:p>
          <w:p w14:paraId="2A784D89" w14:textId="77777777" w:rsidR="008F4EE4" w:rsidRDefault="008F4EE4" w:rsidP="0087548A">
            <w:pPr>
              <w:pStyle w:val="TableText"/>
            </w:pPr>
          </w:p>
          <w:p w14:paraId="43BD1ABB" w14:textId="77777777" w:rsidR="008F4EE4" w:rsidRDefault="008F4EE4" w:rsidP="0087548A">
            <w:pPr>
              <w:pStyle w:val="TableText"/>
            </w:pPr>
          </w:p>
          <w:p w14:paraId="7775A4A0" w14:textId="77777777" w:rsidR="008F4EE4" w:rsidRDefault="008F4EE4" w:rsidP="0087548A">
            <w:pPr>
              <w:pStyle w:val="TableText"/>
            </w:pPr>
          </w:p>
          <w:p w14:paraId="1FF8DF9A" w14:textId="77777777" w:rsidR="008F4EE4" w:rsidRDefault="008F4EE4" w:rsidP="0087548A">
            <w:pPr>
              <w:pStyle w:val="TableText"/>
            </w:pPr>
          </w:p>
          <w:p w14:paraId="460DB9D4" w14:textId="77777777" w:rsidR="008F4EE4" w:rsidRDefault="008F4EE4" w:rsidP="0087548A">
            <w:pPr>
              <w:pStyle w:val="TableText"/>
            </w:pPr>
          </w:p>
          <w:p w14:paraId="7C5FE329" w14:textId="77777777" w:rsidR="008F4EE4" w:rsidRDefault="008F4EE4" w:rsidP="0087548A">
            <w:pPr>
              <w:pStyle w:val="TableText"/>
            </w:pPr>
          </w:p>
          <w:p w14:paraId="156673CC" w14:textId="77777777" w:rsidR="008F4EE4" w:rsidRDefault="008F4EE4" w:rsidP="0087548A">
            <w:pPr>
              <w:pStyle w:val="TableText"/>
            </w:pPr>
          </w:p>
          <w:p w14:paraId="0EDCEA91" w14:textId="77777777" w:rsidR="008F4EE4" w:rsidRDefault="008F4EE4" w:rsidP="0087548A">
            <w:pPr>
              <w:pStyle w:val="TableText"/>
            </w:pPr>
          </w:p>
          <w:p w14:paraId="708552A7" w14:textId="77777777" w:rsidR="008F4EE4" w:rsidRDefault="008F4EE4" w:rsidP="0087548A">
            <w:pPr>
              <w:pStyle w:val="TableText"/>
            </w:pPr>
          </w:p>
          <w:p w14:paraId="08429E3C" w14:textId="77777777" w:rsidR="008F4EE4" w:rsidRDefault="008F4EE4" w:rsidP="0087548A">
            <w:pPr>
              <w:pStyle w:val="TableText"/>
            </w:pPr>
          </w:p>
          <w:p w14:paraId="05D35FA6" w14:textId="77777777" w:rsidR="008F4EE4" w:rsidRDefault="008F4EE4" w:rsidP="0087548A">
            <w:pPr>
              <w:pStyle w:val="TableText"/>
            </w:pPr>
          </w:p>
          <w:p w14:paraId="767A22AF" w14:textId="77777777" w:rsidR="008F4EE4" w:rsidRDefault="008F4EE4" w:rsidP="0087548A">
            <w:pPr>
              <w:pStyle w:val="TableText"/>
            </w:pPr>
          </w:p>
          <w:p w14:paraId="133E0BE6" w14:textId="77777777" w:rsidR="008F4EE4" w:rsidRDefault="008F4EE4" w:rsidP="0087548A">
            <w:pPr>
              <w:pStyle w:val="TableText"/>
            </w:pPr>
          </w:p>
          <w:p w14:paraId="72235959" w14:textId="77777777" w:rsidR="008F4EE4" w:rsidRDefault="008F4EE4" w:rsidP="0087548A">
            <w:pPr>
              <w:pStyle w:val="TableText"/>
            </w:pPr>
          </w:p>
          <w:p w14:paraId="058CE55D" w14:textId="77777777" w:rsidR="008F4EE4" w:rsidRDefault="008F4EE4" w:rsidP="0087548A">
            <w:pPr>
              <w:pStyle w:val="TableText"/>
            </w:pPr>
          </w:p>
          <w:p w14:paraId="69269F76" w14:textId="77777777" w:rsidR="008F4EE4" w:rsidRDefault="008F4EE4" w:rsidP="0087548A">
            <w:pPr>
              <w:pStyle w:val="TableText"/>
            </w:pPr>
          </w:p>
          <w:p w14:paraId="27412153" w14:textId="77777777" w:rsidR="008F4EE4" w:rsidRDefault="008F4EE4" w:rsidP="0087548A">
            <w:pPr>
              <w:pStyle w:val="TableText"/>
            </w:pPr>
          </w:p>
          <w:p w14:paraId="36DB7C6F" w14:textId="77777777" w:rsidR="008F4EE4" w:rsidRDefault="008F4EE4" w:rsidP="0087548A">
            <w:pPr>
              <w:pStyle w:val="TableText"/>
            </w:pPr>
          </w:p>
          <w:p w14:paraId="5B57D458" w14:textId="77777777" w:rsidR="00793019" w:rsidRDefault="00793019" w:rsidP="0087548A">
            <w:pPr>
              <w:pStyle w:val="TableText"/>
            </w:pPr>
          </w:p>
          <w:p w14:paraId="52C72EB2" w14:textId="77777777" w:rsidR="00793019" w:rsidRDefault="00793019" w:rsidP="0087548A">
            <w:pPr>
              <w:pStyle w:val="TableText"/>
            </w:pPr>
          </w:p>
          <w:p w14:paraId="042A3C4A" w14:textId="77777777" w:rsidR="00793019" w:rsidRDefault="00793019" w:rsidP="0087548A">
            <w:pPr>
              <w:pStyle w:val="TableText"/>
            </w:pPr>
          </w:p>
          <w:p w14:paraId="5A2C7DA4" w14:textId="77777777" w:rsidR="00932EDF" w:rsidRDefault="00932EDF" w:rsidP="0087548A">
            <w:pPr>
              <w:pStyle w:val="TableText"/>
            </w:pPr>
          </w:p>
          <w:p w14:paraId="77AB730B" w14:textId="77777777" w:rsidR="00932EDF" w:rsidRDefault="00932EDF" w:rsidP="0087548A">
            <w:pPr>
              <w:pStyle w:val="TableText"/>
            </w:pPr>
          </w:p>
          <w:p w14:paraId="1437E6A7" w14:textId="77777777" w:rsidR="00932EDF" w:rsidRDefault="00932EDF" w:rsidP="0087548A">
            <w:pPr>
              <w:pStyle w:val="TableText"/>
            </w:pPr>
          </w:p>
          <w:p w14:paraId="3CA43C2E" w14:textId="77777777" w:rsidR="00932EDF" w:rsidRDefault="00932EDF" w:rsidP="0087548A">
            <w:pPr>
              <w:pStyle w:val="TableText"/>
            </w:pPr>
          </w:p>
          <w:p w14:paraId="60B4BDA3" w14:textId="77777777" w:rsidR="00932EDF" w:rsidRDefault="00932EDF" w:rsidP="0087548A">
            <w:pPr>
              <w:pStyle w:val="TableText"/>
            </w:pPr>
          </w:p>
          <w:p w14:paraId="41048ADF" w14:textId="77777777" w:rsidR="00932EDF" w:rsidRDefault="00932EDF" w:rsidP="0087548A">
            <w:pPr>
              <w:pStyle w:val="TableText"/>
            </w:pPr>
          </w:p>
          <w:p w14:paraId="76528DEE" w14:textId="77777777" w:rsidR="00932EDF" w:rsidRDefault="00932EDF" w:rsidP="0087548A">
            <w:pPr>
              <w:pStyle w:val="TableText"/>
            </w:pPr>
          </w:p>
          <w:p w14:paraId="04DEC0FC" w14:textId="77777777" w:rsidR="00932EDF" w:rsidRDefault="00932EDF" w:rsidP="0087548A">
            <w:pPr>
              <w:pStyle w:val="TableText"/>
            </w:pPr>
          </w:p>
          <w:p w14:paraId="5C0D35E0" w14:textId="77777777" w:rsidR="00932EDF" w:rsidRDefault="00932EDF" w:rsidP="0087548A">
            <w:pPr>
              <w:pStyle w:val="TableText"/>
            </w:pPr>
          </w:p>
          <w:p w14:paraId="573FAE5E" w14:textId="77777777" w:rsidR="00932EDF" w:rsidRDefault="00932EDF" w:rsidP="0087548A">
            <w:pPr>
              <w:pStyle w:val="TableText"/>
            </w:pPr>
          </w:p>
          <w:p w14:paraId="35040ACE" w14:textId="097DBE41" w:rsidR="008F4EE4" w:rsidRDefault="00793019" w:rsidP="0087548A">
            <w:pPr>
              <w:pStyle w:val="TableText"/>
            </w:pPr>
            <w:r>
              <w:t>Wellbeing Lead</w:t>
            </w:r>
          </w:p>
          <w:p w14:paraId="6270AB6B" w14:textId="77777777" w:rsidR="00793019" w:rsidRDefault="00793019" w:rsidP="0087548A">
            <w:pPr>
              <w:pStyle w:val="TableText"/>
            </w:pPr>
          </w:p>
          <w:p w14:paraId="580A319B" w14:textId="77777777" w:rsidR="00793019" w:rsidRDefault="00793019" w:rsidP="0087548A">
            <w:pPr>
              <w:pStyle w:val="TableText"/>
            </w:pPr>
          </w:p>
          <w:p w14:paraId="074086E8" w14:textId="77777777" w:rsidR="00793019" w:rsidRDefault="00793019" w:rsidP="0087548A">
            <w:pPr>
              <w:pStyle w:val="TableText"/>
            </w:pPr>
          </w:p>
          <w:p w14:paraId="041B92FF" w14:textId="77777777" w:rsidR="00793019" w:rsidRDefault="00793019" w:rsidP="0087548A">
            <w:pPr>
              <w:pStyle w:val="TableText"/>
            </w:pPr>
          </w:p>
          <w:p w14:paraId="25B974BD" w14:textId="77777777" w:rsidR="00793019" w:rsidRDefault="00793019" w:rsidP="0087548A">
            <w:pPr>
              <w:pStyle w:val="TableText"/>
            </w:pPr>
          </w:p>
          <w:p w14:paraId="50B4949A" w14:textId="77777777" w:rsidR="00793019" w:rsidRDefault="00793019" w:rsidP="0087548A">
            <w:pPr>
              <w:pStyle w:val="TableText"/>
            </w:pPr>
          </w:p>
          <w:p w14:paraId="2F5ED7C0" w14:textId="77777777" w:rsidR="00793019" w:rsidRDefault="00793019" w:rsidP="0087548A">
            <w:pPr>
              <w:pStyle w:val="TableText"/>
            </w:pPr>
          </w:p>
          <w:p w14:paraId="3690AB82" w14:textId="77777777" w:rsidR="00932EDF" w:rsidRDefault="00932EDF" w:rsidP="0087548A">
            <w:pPr>
              <w:pStyle w:val="TableText"/>
            </w:pPr>
          </w:p>
          <w:p w14:paraId="02F2CFF1" w14:textId="77777777" w:rsidR="00932EDF" w:rsidRDefault="00932EDF" w:rsidP="0087548A">
            <w:pPr>
              <w:pStyle w:val="TableText"/>
            </w:pPr>
          </w:p>
          <w:p w14:paraId="28D711C0" w14:textId="77777777" w:rsidR="00793019" w:rsidRDefault="00793019" w:rsidP="0087548A">
            <w:pPr>
              <w:pStyle w:val="TableText"/>
            </w:pPr>
          </w:p>
          <w:p w14:paraId="4D60DC61" w14:textId="77777777" w:rsidR="00793019" w:rsidRDefault="00793019" w:rsidP="0087548A">
            <w:pPr>
              <w:pStyle w:val="TableText"/>
            </w:pPr>
          </w:p>
          <w:p w14:paraId="37B5DD94" w14:textId="77777777" w:rsidR="00793019" w:rsidRDefault="00793019" w:rsidP="0087548A">
            <w:pPr>
              <w:pStyle w:val="TableText"/>
            </w:pPr>
          </w:p>
          <w:p w14:paraId="71630152" w14:textId="77777777" w:rsidR="00793019" w:rsidRDefault="00793019" w:rsidP="0087548A">
            <w:pPr>
              <w:pStyle w:val="TableText"/>
            </w:pPr>
          </w:p>
          <w:p w14:paraId="068CF827" w14:textId="77777777" w:rsidR="00793019" w:rsidRDefault="00793019" w:rsidP="0087548A">
            <w:pPr>
              <w:pStyle w:val="TableText"/>
            </w:pPr>
          </w:p>
          <w:p w14:paraId="4E4D732E" w14:textId="77777777" w:rsidR="00793019" w:rsidRDefault="00793019" w:rsidP="0087548A">
            <w:pPr>
              <w:pStyle w:val="TableText"/>
            </w:pPr>
          </w:p>
          <w:p w14:paraId="6A4801BD" w14:textId="77777777" w:rsidR="00793019" w:rsidRDefault="00793019" w:rsidP="0087548A">
            <w:pPr>
              <w:pStyle w:val="TableText"/>
            </w:pPr>
          </w:p>
          <w:p w14:paraId="57F83DAC" w14:textId="77777777" w:rsidR="00793019" w:rsidRDefault="00793019" w:rsidP="0087548A">
            <w:pPr>
              <w:pStyle w:val="TableText"/>
            </w:pPr>
          </w:p>
          <w:p w14:paraId="1E0C8BFF" w14:textId="77777777" w:rsidR="00793019" w:rsidRDefault="00793019" w:rsidP="0087548A">
            <w:pPr>
              <w:pStyle w:val="TableText"/>
            </w:pPr>
          </w:p>
          <w:p w14:paraId="294CA0A3" w14:textId="77777777" w:rsidR="00793019" w:rsidRDefault="00793019" w:rsidP="0087548A">
            <w:pPr>
              <w:pStyle w:val="TableText"/>
            </w:pPr>
          </w:p>
          <w:p w14:paraId="3BD28104" w14:textId="77777777" w:rsidR="00793019" w:rsidRDefault="00793019" w:rsidP="0087548A">
            <w:pPr>
              <w:pStyle w:val="TableText"/>
            </w:pPr>
          </w:p>
          <w:p w14:paraId="6606967E" w14:textId="77777777" w:rsidR="00793019" w:rsidRDefault="00793019" w:rsidP="0087548A">
            <w:pPr>
              <w:pStyle w:val="TableText"/>
            </w:pPr>
          </w:p>
          <w:p w14:paraId="200C24AA" w14:textId="77777777" w:rsidR="00793019" w:rsidRDefault="00793019" w:rsidP="0087548A">
            <w:pPr>
              <w:pStyle w:val="TableText"/>
            </w:pPr>
          </w:p>
          <w:p w14:paraId="07AD1E9F" w14:textId="77777777" w:rsidR="008F4EE4" w:rsidRDefault="008F4EE4" w:rsidP="0087548A">
            <w:pPr>
              <w:pStyle w:val="TableText"/>
            </w:pPr>
          </w:p>
          <w:p w14:paraId="30C96AA7" w14:textId="055ADCE4" w:rsidR="00932EDF" w:rsidRDefault="00932EDF" w:rsidP="0087548A">
            <w:pPr>
              <w:pStyle w:val="TableText"/>
            </w:pPr>
            <w:r>
              <w:t>Wellbeing Lead</w:t>
            </w:r>
          </w:p>
          <w:p w14:paraId="14ABE315" w14:textId="77777777" w:rsidR="008F4EE4" w:rsidRDefault="008F4EE4" w:rsidP="0087548A">
            <w:pPr>
              <w:pStyle w:val="TableText"/>
            </w:pPr>
          </w:p>
          <w:p w14:paraId="129DF4C2" w14:textId="77777777" w:rsidR="008F4EE4" w:rsidRDefault="008F4EE4" w:rsidP="0087548A">
            <w:pPr>
              <w:pStyle w:val="TableText"/>
            </w:pPr>
          </w:p>
          <w:p w14:paraId="51CD44BE" w14:textId="77777777" w:rsidR="008F4EE4" w:rsidRDefault="008F4EE4" w:rsidP="0087548A">
            <w:pPr>
              <w:pStyle w:val="TableText"/>
            </w:pPr>
          </w:p>
          <w:p w14:paraId="1B8EB0E3" w14:textId="77777777" w:rsidR="008F4EE4" w:rsidRDefault="008F4EE4" w:rsidP="0087548A">
            <w:pPr>
              <w:pStyle w:val="TableText"/>
            </w:pPr>
          </w:p>
          <w:p w14:paraId="3D335C60" w14:textId="77777777" w:rsidR="008F4EE4" w:rsidRDefault="008F4EE4" w:rsidP="0087548A">
            <w:pPr>
              <w:pStyle w:val="TableText"/>
            </w:pPr>
          </w:p>
          <w:p w14:paraId="19E1156A" w14:textId="77777777" w:rsidR="008F4EE4" w:rsidRDefault="008F4EE4" w:rsidP="0087548A">
            <w:pPr>
              <w:pStyle w:val="TableText"/>
            </w:pPr>
          </w:p>
          <w:p w14:paraId="78A4BAB2" w14:textId="77777777" w:rsidR="008F4EE4" w:rsidRDefault="008F4EE4" w:rsidP="0087548A">
            <w:pPr>
              <w:pStyle w:val="TableText"/>
            </w:pPr>
          </w:p>
          <w:p w14:paraId="65280775" w14:textId="77777777" w:rsidR="008F4EE4" w:rsidRDefault="008F4EE4" w:rsidP="0087548A">
            <w:pPr>
              <w:pStyle w:val="TableText"/>
            </w:pPr>
          </w:p>
          <w:p w14:paraId="41246660" w14:textId="77777777" w:rsidR="008F4EE4" w:rsidRDefault="008F4EE4" w:rsidP="0087548A">
            <w:pPr>
              <w:pStyle w:val="TableText"/>
            </w:pPr>
          </w:p>
          <w:p w14:paraId="488DCC21" w14:textId="77777777" w:rsidR="008F4EE4" w:rsidRDefault="008F4EE4" w:rsidP="0087548A">
            <w:pPr>
              <w:pStyle w:val="TableText"/>
            </w:pPr>
          </w:p>
          <w:p w14:paraId="4DC692C3" w14:textId="77777777" w:rsidR="008F4EE4" w:rsidRDefault="008F4EE4" w:rsidP="0087548A">
            <w:pPr>
              <w:pStyle w:val="TableText"/>
            </w:pPr>
          </w:p>
          <w:p w14:paraId="537A321A" w14:textId="77777777" w:rsidR="008F4EE4" w:rsidRDefault="008F4EE4" w:rsidP="0087548A">
            <w:pPr>
              <w:pStyle w:val="TableText"/>
            </w:pPr>
          </w:p>
          <w:p w14:paraId="49157260" w14:textId="77777777" w:rsidR="00932EDF" w:rsidRPr="00932EDF" w:rsidRDefault="00932EDF" w:rsidP="00932EDF">
            <w:pPr>
              <w:pStyle w:val="TableText"/>
            </w:pPr>
            <w:r w:rsidRPr="00932EDF">
              <w:t>Staff Experience and OD Coordinator - Inclusion</w:t>
            </w:r>
          </w:p>
          <w:p w14:paraId="3B18DA94" w14:textId="77777777" w:rsidR="00932EDF" w:rsidRDefault="00932EDF" w:rsidP="0087548A">
            <w:pPr>
              <w:pStyle w:val="TableText"/>
            </w:pPr>
          </w:p>
          <w:p w14:paraId="443053FF" w14:textId="77777777" w:rsidR="008F4EE4" w:rsidRDefault="008F4EE4" w:rsidP="0087548A">
            <w:pPr>
              <w:pStyle w:val="TableText"/>
            </w:pPr>
          </w:p>
          <w:p w14:paraId="64B87BE4" w14:textId="77777777" w:rsidR="008F4EE4" w:rsidRDefault="008F4EE4" w:rsidP="0087548A">
            <w:pPr>
              <w:pStyle w:val="TableText"/>
            </w:pPr>
          </w:p>
          <w:p w14:paraId="5DE5A0DB" w14:textId="77777777" w:rsidR="008F4EE4" w:rsidRDefault="008F4EE4" w:rsidP="0087548A">
            <w:pPr>
              <w:pStyle w:val="TableText"/>
            </w:pPr>
          </w:p>
          <w:p w14:paraId="4B2EFBFB" w14:textId="77777777" w:rsidR="008F4EE4" w:rsidRDefault="008F4EE4" w:rsidP="0087548A">
            <w:pPr>
              <w:pStyle w:val="TableText"/>
            </w:pPr>
          </w:p>
          <w:p w14:paraId="22B1EB98" w14:textId="77777777" w:rsidR="008F4EE4" w:rsidRDefault="008F4EE4" w:rsidP="0087548A">
            <w:pPr>
              <w:pStyle w:val="TableText"/>
            </w:pPr>
          </w:p>
          <w:p w14:paraId="510C3579" w14:textId="77777777" w:rsidR="00793019" w:rsidRDefault="00793019" w:rsidP="0087548A">
            <w:pPr>
              <w:pStyle w:val="TableText"/>
            </w:pPr>
          </w:p>
          <w:p w14:paraId="13BF62C3" w14:textId="77777777" w:rsidR="00793019" w:rsidRDefault="00793019" w:rsidP="0087548A">
            <w:pPr>
              <w:pStyle w:val="TableText"/>
            </w:pPr>
          </w:p>
          <w:p w14:paraId="35B4731F" w14:textId="77777777" w:rsidR="00793019" w:rsidRDefault="00793019" w:rsidP="0087548A">
            <w:pPr>
              <w:pStyle w:val="TableText"/>
            </w:pPr>
          </w:p>
          <w:p w14:paraId="5A935D82" w14:textId="77777777" w:rsidR="00793019" w:rsidRDefault="00793019" w:rsidP="0087548A">
            <w:pPr>
              <w:pStyle w:val="TableText"/>
            </w:pPr>
          </w:p>
          <w:p w14:paraId="1B4D4C2C" w14:textId="77777777" w:rsidR="00932EDF" w:rsidRDefault="00932EDF" w:rsidP="0087548A">
            <w:pPr>
              <w:pStyle w:val="TableText"/>
            </w:pPr>
          </w:p>
          <w:p w14:paraId="1445BD32" w14:textId="77777777" w:rsidR="00932EDF" w:rsidRDefault="00932EDF" w:rsidP="0087548A">
            <w:pPr>
              <w:pStyle w:val="TableText"/>
            </w:pPr>
          </w:p>
          <w:p w14:paraId="5B729C21" w14:textId="77777777" w:rsidR="00932EDF" w:rsidRDefault="00932EDF" w:rsidP="0087548A">
            <w:pPr>
              <w:pStyle w:val="TableText"/>
            </w:pPr>
          </w:p>
          <w:p w14:paraId="6F7BD8E1" w14:textId="77777777" w:rsidR="00932EDF" w:rsidRDefault="00932EDF" w:rsidP="0087548A">
            <w:pPr>
              <w:pStyle w:val="TableText"/>
            </w:pPr>
          </w:p>
          <w:p w14:paraId="4BEA8F84" w14:textId="77777777" w:rsidR="00932EDF" w:rsidRDefault="00932EDF" w:rsidP="0087548A">
            <w:pPr>
              <w:pStyle w:val="TableText"/>
            </w:pPr>
          </w:p>
          <w:p w14:paraId="7DED5D75" w14:textId="77777777" w:rsidR="00932EDF" w:rsidRDefault="00932EDF" w:rsidP="0087548A">
            <w:pPr>
              <w:pStyle w:val="TableText"/>
            </w:pPr>
          </w:p>
          <w:p w14:paraId="746ECF39" w14:textId="77777777" w:rsidR="00932EDF" w:rsidRDefault="00932EDF" w:rsidP="0087548A">
            <w:pPr>
              <w:pStyle w:val="TableText"/>
            </w:pPr>
          </w:p>
          <w:p w14:paraId="30193CF1" w14:textId="77777777" w:rsidR="008F4EE4" w:rsidRDefault="008F4EE4" w:rsidP="0087548A">
            <w:pPr>
              <w:pStyle w:val="TableText"/>
            </w:pPr>
            <w:r>
              <w:t>FTSU Guardian</w:t>
            </w:r>
          </w:p>
          <w:p w14:paraId="57696D86" w14:textId="77777777" w:rsidR="00932EDF" w:rsidRDefault="00932EDF" w:rsidP="0087548A">
            <w:pPr>
              <w:pStyle w:val="TableText"/>
            </w:pPr>
          </w:p>
          <w:p w14:paraId="52571722" w14:textId="77777777" w:rsidR="00932EDF" w:rsidRDefault="00932EDF" w:rsidP="0087548A">
            <w:pPr>
              <w:pStyle w:val="TableText"/>
            </w:pPr>
          </w:p>
          <w:p w14:paraId="39E2B833" w14:textId="77777777" w:rsidR="00932EDF" w:rsidRDefault="00932EDF" w:rsidP="0087548A">
            <w:pPr>
              <w:pStyle w:val="TableText"/>
            </w:pPr>
          </w:p>
          <w:p w14:paraId="1784DA79" w14:textId="77777777" w:rsidR="00932EDF" w:rsidRDefault="00932EDF" w:rsidP="0087548A">
            <w:pPr>
              <w:pStyle w:val="TableText"/>
            </w:pPr>
          </w:p>
          <w:p w14:paraId="2B0AF22B" w14:textId="77777777" w:rsidR="00932EDF" w:rsidRDefault="00932EDF" w:rsidP="0087548A">
            <w:pPr>
              <w:pStyle w:val="TableText"/>
            </w:pPr>
          </w:p>
          <w:p w14:paraId="3A5AF876" w14:textId="77777777" w:rsidR="00932EDF" w:rsidRDefault="00932EDF" w:rsidP="0087548A">
            <w:pPr>
              <w:pStyle w:val="TableText"/>
            </w:pPr>
          </w:p>
          <w:p w14:paraId="4B5ED2DC" w14:textId="77777777" w:rsidR="00932EDF" w:rsidRDefault="00932EDF" w:rsidP="0087548A">
            <w:pPr>
              <w:pStyle w:val="TableText"/>
            </w:pPr>
          </w:p>
          <w:p w14:paraId="4B1129F7" w14:textId="77777777" w:rsidR="00932EDF" w:rsidRDefault="00932EDF" w:rsidP="0087548A">
            <w:pPr>
              <w:pStyle w:val="TableText"/>
            </w:pPr>
          </w:p>
          <w:p w14:paraId="5AD12B12" w14:textId="77777777" w:rsidR="00932EDF" w:rsidRDefault="00932EDF" w:rsidP="0087548A">
            <w:pPr>
              <w:pStyle w:val="TableText"/>
            </w:pPr>
          </w:p>
          <w:p w14:paraId="662B3A25" w14:textId="77777777" w:rsidR="00932EDF" w:rsidRDefault="00932EDF" w:rsidP="0087548A">
            <w:pPr>
              <w:pStyle w:val="TableText"/>
            </w:pPr>
          </w:p>
          <w:p w14:paraId="3AEC7A3C" w14:textId="77777777" w:rsidR="00932EDF" w:rsidRDefault="00932EDF" w:rsidP="0087548A">
            <w:pPr>
              <w:pStyle w:val="TableText"/>
            </w:pPr>
          </w:p>
          <w:p w14:paraId="56BE9727" w14:textId="77777777" w:rsidR="00932EDF" w:rsidRDefault="00932EDF" w:rsidP="0087548A">
            <w:pPr>
              <w:pStyle w:val="TableText"/>
            </w:pPr>
          </w:p>
          <w:p w14:paraId="212A38ED" w14:textId="77777777" w:rsidR="00932EDF" w:rsidRDefault="00932EDF" w:rsidP="0087548A">
            <w:pPr>
              <w:pStyle w:val="TableText"/>
            </w:pPr>
          </w:p>
          <w:p w14:paraId="1908C294" w14:textId="3923A3CA" w:rsidR="00932EDF" w:rsidRPr="009D1CC6" w:rsidRDefault="00932EDF" w:rsidP="0087548A">
            <w:pPr>
              <w:pStyle w:val="TableText"/>
            </w:pPr>
            <w:r>
              <w:t>Head of Staff Experience and OD</w:t>
            </w:r>
          </w:p>
        </w:tc>
      </w:tr>
      <w:bookmarkEnd w:id="4"/>
      <w:tr w:rsidR="00900737" w:rsidRPr="009D1CC6" w14:paraId="7007755E" w14:textId="77777777" w:rsidTr="00B856E9">
        <w:trPr>
          <w:cantSplit/>
          <w:trHeight w:val="1247"/>
        </w:trPr>
        <w:tc>
          <w:tcPr>
            <w:tcW w:w="1129" w:type="dxa"/>
            <w:vMerge/>
            <w:shd w:val="clear" w:color="auto" w:fill="BDDEFF" w:themeFill="accent1" w:themeFillTint="33"/>
          </w:tcPr>
          <w:p w14:paraId="01536A6C" w14:textId="77777777" w:rsidR="00BB480F" w:rsidRPr="009D1CC6" w:rsidRDefault="00BB480F" w:rsidP="00E33027">
            <w:pPr>
              <w:rPr>
                <w:rFonts w:cs="Arial"/>
              </w:rPr>
            </w:pPr>
          </w:p>
        </w:tc>
        <w:tc>
          <w:tcPr>
            <w:tcW w:w="3828" w:type="dxa"/>
            <w:shd w:val="clear" w:color="auto" w:fill="BDDEFF" w:themeFill="accent1" w:themeFillTint="33"/>
          </w:tcPr>
          <w:p w14:paraId="782671E5" w14:textId="77777777" w:rsidR="00BB480F" w:rsidRPr="009D1CC6" w:rsidRDefault="00BB480F" w:rsidP="00E33027">
            <w:pPr>
              <w:rPr>
                <w:rFonts w:cs="Arial"/>
              </w:rPr>
            </w:pPr>
            <w:r w:rsidRPr="009D1CC6">
              <w:rPr>
                <w:rFonts w:cs="Arial"/>
              </w:rPr>
              <w:t>2D: Staff recommend the organisation as a place to work and receive treatment</w:t>
            </w:r>
          </w:p>
        </w:tc>
        <w:tc>
          <w:tcPr>
            <w:tcW w:w="5386" w:type="dxa"/>
          </w:tcPr>
          <w:p w14:paraId="154BA5AC" w14:textId="18C84257" w:rsidR="00EA4195" w:rsidRDefault="00BF5B52" w:rsidP="00210242">
            <w:pPr>
              <w:pStyle w:val="ListParagraph"/>
              <w:numPr>
                <w:ilvl w:val="0"/>
                <w:numId w:val="7"/>
              </w:numPr>
              <w:spacing w:before="100" w:beforeAutospacing="1" w:after="100" w:afterAutospacing="1"/>
            </w:pPr>
            <w:r>
              <w:t xml:space="preserve">Following a successful People Promise Exemplar programme, staff experience against people </w:t>
            </w:r>
            <w:proofErr w:type="gramStart"/>
            <w:r>
              <w:t>promise</w:t>
            </w:r>
            <w:proofErr w:type="gramEnd"/>
            <w:r>
              <w:t xml:space="preserve"> elements now embedded in People Service infrastructure and governance ensuring a continuous focus on staff experience</w:t>
            </w:r>
            <w:r w:rsidR="0084531D">
              <w:t>.</w:t>
            </w:r>
            <w:r w:rsidR="00840F10">
              <w:t xml:space="preserve"> </w:t>
            </w:r>
          </w:p>
          <w:p w14:paraId="7B18F42E" w14:textId="77777777" w:rsidR="00275245" w:rsidRDefault="00275245" w:rsidP="00AD7662">
            <w:pPr>
              <w:pStyle w:val="ListParagraph"/>
              <w:spacing w:before="100" w:beforeAutospacing="1" w:after="100" w:afterAutospacing="1"/>
              <w:ind w:left="360"/>
            </w:pPr>
          </w:p>
          <w:p w14:paraId="0288B6B2" w14:textId="7634E83C" w:rsidR="003448B9" w:rsidRDefault="0084531D" w:rsidP="00210242">
            <w:pPr>
              <w:pStyle w:val="ListParagraph"/>
              <w:numPr>
                <w:ilvl w:val="0"/>
                <w:numId w:val="7"/>
              </w:numPr>
              <w:spacing w:before="100" w:beforeAutospacing="1" w:after="100" w:afterAutospacing="1"/>
            </w:pPr>
            <w:r w:rsidRPr="00EA4195">
              <w:t xml:space="preserve">The Trust continues to monitor staff advocacy through the NHS Staff Survey, </w:t>
            </w:r>
            <w:r w:rsidR="005C259C">
              <w:t>and People</w:t>
            </w:r>
            <w:r w:rsidRPr="00EA4195">
              <w:t xml:space="preserve"> pulse surveys, as part of ongoing measurement of staff experience.</w:t>
            </w:r>
          </w:p>
          <w:p w14:paraId="3694D533" w14:textId="77777777" w:rsidR="0084531D" w:rsidRPr="00EA4195" w:rsidRDefault="0084531D" w:rsidP="00AD7662">
            <w:pPr>
              <w:pStyle w:val="ListParagraph"/>
              <w:spacing w:before="100" w:beforeAutospacing="1" w:after="100" w:afterAutospacing="1"/>
              <w:ind w:left="360"/>
            </w:pPr>
          </w:p>
          <w:p w14:paraId="51D5864E" w14:textId="095FDEE0" w:rsidR="003448B9" w:rsidRDefault="0084531D" w:rsidP="00210242">
            <w:pPr>
              <w:pStyle w:val="ListParagraph"/>
              <w:numPr>
                <w:ilvl w:val="0"/>
                <w:numId w:val="7"/>
              </w:numPr>
              <w:spacing w:before="100" w:beforeAutospacing="1" w:after="100" w:afterAutospacing="1"/>
            </w:pPr>
            <w:r w:rsidRPr="00EA4195">
              <w:t>2024 NHS Staff Survey results show:</w:t>
            </w:r>
          </w:p>
          <w:p w14:paraId="1F523062" w14:textId="77777777" w:rsidR="0084531D" w:rsidRPr="00EA4195" w:rsidRDefault="0084531D" w:rsidP="00210242">
            <w:pPr>
              <w:pStyle w:val="TableText"/>
              <w:numPr>
                <w:ilvl w:val="1"/>
                <w:numId w:val="8"/>
              </w:numPr>
              <w:ind w:left="700"/>
            </w:pPr>
            <w:r w:rsidRPr="00EA4195">
              <w:t xml:space="preserve">When asked if staff would recommend the organisation as a place to work. There was an </w:t>
            </w:r>
            <w:r w:rsidRPr="00EA4195">
              <w:rPr>
                <w:b/>
                <w:bCs/>
              </w:rPr>
              <w:t>increase of 2.65% compared to 2023</w:t>
            </w:r>
            <w:r w:rsidRPr="00EA4195">
              <w:t xml:space="preserve"> at </w:t>
            </w:r>
            <w:r w:rsidRPr="00EA4195">
              <w:rPr>
                <w:b/>
                <w:bCs/>
              </w:rPr>
              <w:t>47.99%</w:t>
            </w:r>
            <w:r w:rsidRPr="00EA4195">
              <w:t xml:space="preserve"> this is below the national average at </w:t>
            </w:r>
            <w:r w:rsidRPr="00EA4195">
              <w:rPr>
                <w:b/>
                <w:bCs/>
              </w:rPr>
              <w:t xml:space="preserve">60.90%. </w:t>
            </w:r>
          </w:p>
          <w:p w14:paraId="5AB71F31" w14:textId="244BE5D5" w:rsidR="00ED4A2A" w:rsidRDefault="0084531D" w:rsidP="00210242">
            <w:pPr>
              <w:pStyle w:val="TableText"/>
              <w:numPr>
                <w:ilvl w:val="1"/>
                <w:numId w:val="8"/>
              </w:numPr>
              <w:ind w:left="700"/>
            </w:pPr>
            <w:r w:rsidRPr="00EA4195">
              <w:t>When asked if staff would be happy if a friend or relative needed treatment</w:t>
            </w:r>
            <w:r w:rsidRPr="00EA4195">
              <w:rPr>
                <w:b/>
                <w:bCs/>
              </w:rPr>
              <w:t xml:space="preserve"> 51.14% said they would which is comparative to 2023</w:t>
            </w:r>
            <w:r w:rsidR="005C259C">
              <w:rPr>
                <w:b/>
                <w:bCs/>
              </w:rPr>
              <w:t xml:space="preserve"> </w:t>
            </w:r>
            <w:r w:rsidR="005C259C" w:rsidRPr="005C259C">
              <w:t>and</w:t>
            </w:r>
            <w:r w:rsidRPr="00EA4195">
              <w:t>10.4% below the national average.</w:t>
            </w:r>
            <w:r w:rsidR="00ED4A2A">
              <w:t xml:space="preserve"> </w:t>
            </w:r>
          </w:p>
          <w:p w14:paraId="1A2A39DB" w14:textId="63C301B1" w:rsidR="0084531D" w:rsidRDefault="005C259C" w:rsidP="00210242">
            <w:pPr>
              <w:pStyle w:val="ListParagraph"/>
              <w:numPr>
                <w:ilvl w:val="0"/>
                <w:numId w:val="7"/>
              </w:numPr>
              <w:spacing w:before="100" w:beforeAutospacing="1" w:after="100" w:afterAutospacing="1"/>
            </w:pPr>
            <w:r>
              <w:t xml:space="preserve">2025 People Pulse results show a decrease in staff advocacy scores in January 25, April 25 and June 25 compared with 2024 Staff Survey results. This is in the context of a significantly smaller survey sample </w:t>
            </w:r>
            <w:proofErr w:type="gramStart"/>
            <w:r>
              <w:t>size,</w:t>
            </w:r>
            <w:proofErr w:type="gramEnd"/>
            <w:r>
              <w:t xml:space="preserve"> </w:t>
            </w:r>
            <w:r>
              <w:lastRenderedPageBreak/>
              <w:t xml:space="preserve">however June 25 results did see an increase in advocacy compared to April 25.  </w:t>
            </w:r>
          </w:p>
          <w:p w14:paraId="479FF1C3" w14:textId="77777777" w:rsidR="00275245" w:rsidRDefault="00275245" w:rsidP="00275245">
            <w:pPr>
              <w:pStyle w:val="ListParagraph"/>
              <w:spacing w:before="100" w:beforeAutospacing="1" w:after="100" w:afterAutospacing="1"/>
              <w:ind w:left="360"/>
            </w:pPr>
          </w:p>
          <w:p w14:paraId="7FA7B538" w14:textId="671C24F0" w:rsidR="00033C32" w:rsidRDefault="00ED4A2A" w:rsidP="00210242">
            <w:pPr>
              <w:pStyle w:val="ListParagraph"/>
              <w:numPr>
                <w:ilvl w:val="0"/>
                <w:numId w:val="7"/>
              </w:numPr>
              <w:spacing w:before="100" w:beforeAutospacing="1" w:after="100" w:afterAutospacing="1"/>
            </w:pPr>
            <w:r>
              <w:t>An initial Staff Survey analysis by protected characteristics has been undertaken and shared with Staff networks to inform their 2025/2026 priorities. Further work to be undertaken in 2026 to build on this approach and ensure meaningful actions are identified</w:t>
            </w:r>
          </w:p>
          <w:p w14:paraId="570C1EDC" w14:textId="77777777" w:rsidR="00033C32" w:rsidRDefault="00033C32" w:rsidP="00033C32">
            <w:pPr>
              <w:pStyle w:val="ListParagraph"/>
            </w:pPr>
          </w:p>
          <w:p w14:paraId="190F6C4B" w14:textId="77777777" w:rsidR="00033C32" w:rsidRDefault="00033C32" w:rsidP="00033C32">
            <w:pPr>
              <w:pStyle w:val="ListParagraph"/>
              <w:spacing w:before="100" w:beforeAutospacing="1" w:after="100" w:afterAutospacing="1"/>
              <w:ind w:left="360"/>
            </w:pPr>
          </w:p>
          <w:p w14:paraId="6588D6EF" w14:textId="276A3ADF" w:rsidR="005C259C" w:rsidRDefault="005C259C" w:rsidP="00210242">
            <w:pPr>
              <w:pStyle w:val="ListParagraph"/>
              <w:numPr>
                <w:ilvl w:val="0"/>
                <w:numId w:val="7"/>
              </w:numPr>
              <w:spacing w:before="100" w:beforeAutospacing="1" w:after="100" w:afterAutospacing="1"/>
            </w:pPr>
            <w:r>
              <w:t>Established in Mar/April 25, the People and Culture Sub Committee are responsible for monitoring actions in relation to improving staff experience and advocacy. Key workstre</w:t>
            </w:r>
            <w:r w:rsidR="00033C32">
              <w:t>a</w:t>
            </w:r>
            <w:r>
              <w:t>ms in 2025 have included</w:t>
            </w:r>
            <w:r w:rsidR="00033C32">
              <w:t xml:space="preserve"> the following. </w:t>
            </w:r>
          </w:p>
          <w:p w14:paraId="613C7B46" w14:textId="4DD8078D" w:rsidR="0084531D" w:rsidRDefault="00BF5B52" w:rsidP="00210242">
            <w:pPr>
              <w:pStyle w:val="TableText"/>
              <w:numPr>
                <w:ilvl w:val="1"/>
                <w:numId w:val="8"/>
              </w:numPr>
              <w:ind w:left="700"/>
            </w:pPr>
            <w:r w:rsidRPr="00BF5B52">
              <w:t>Expansion of Reward and Recognition in 2025 has included the introduction of a new Patient Choice Award, continued delivery of Employee and Team of the Month</w:t>
            </w:r>
            <w:r>
              <w:t xml:space="preserve">, </w:t>
            </w:r>
            <w:r w:rsidRPr="00BF5B52">
              <w:t>increased staff participation in the annual Celebration of Achievement Awards</w:t>
            </w:r>
            <w:r>
              <w:t xml:space="preserve"> and the introduction of Recognition Christmas Trees</w:t>
            </w:r>
            <w:r w:rsidR="00275245">
              <w:t xml:space="preserve"> as part of a new programme of quarterly Trust wide staff involvement events. </w:t>
            </w:r>
            <w:r w:rsidRPr="0084531D">
              <w:t xml:space="preserve">These initiatives foster a culture of appreciation, boost morale, and reinforce the Trust’s </w:t>
            </w:r>
            <w:r w:rsidRPr="0084531D">
              <w:lastRenderedPageBreak/>
              <w:t>commitment to valuing staff and delivering excellent patient care.</w:t>
            </w:r>
          </w:p>
          <w:p w14:paraId="1EEE9556" w14:textId="187624C9" w:rsidR="00275245" w:rsidRDefault="00275245" w:rsidP="00210242">
            <w:pPr>
              <w:pStyle w:val="TableText"/>
              <w:numPr>
                <w:ilvl w:val="1"/>
                <w:numId w:val="8"/>
              </w:numPr>
              <w:ind w:left="700"/>
            </w:pPr>
            <w:r>
              <w:t xml:space="preserve">Supporting the development of our line managers via a Managers Essentials Programme, recognising the essential role of line managers in improving the experience of staff across the Trust. </w:t>
            </w:r>
          </w:p>
          <w:p w14:paraId="0667FF96" w14:textId="52402EEB" w:rsidR="0084531D" w:rsidRPr="00275245" w:rsidRDefault="00275245" w:rsidP="00210242">
            <w:pPr>
              <w:pStyle w:val="TableText"/>
              <w:numPr>
                <w:ilvl w:val="1"/>
                <w:numId w:val="8"/>
              </w:numPr>
              <w:ind w:left="700"/>
            </w:pPr>
            <w:r>
              <w:t>Development of a new Trust policy in relation to Violence and Aggression as referenced in section 2C</w:t>
            </w:r>
            <w:r w:rsidR="00DD0CA9">
              <w:t>.</w:t>
            </w:r>
          </w:p>
          <w:p w14:paraId="25DA493C" w14:textId="4F55F19C" w:rsidR="00ED4A2A" w:rsidRDefault="00275245" w:rsidP="00210242">
            <w:pPr>
              <w:pStyle w:val="ListParagraph"/>
              <w:numPr>
                <w:ilvl w:val="0"/>
                <w:numId w:val="7"/>
              </w:numPr>
              <w:spacing w:before="100" w:beforeAutospacing="1" w:after="100" w:afterAutospacing="1"/>
            </w:pPr>
            <w:r w:rsidRPr="00ED4A2A">
              <w:t xml:space="preserve">The Trust has strengthened Staff Networks in 2025, establishing an Armed Forces Network. </w:t>
            </w:r>
            <w:r w:rsidR="00ED4A2A" w:rsidRPr="00ED4A2A">
              <w:t xml:space="preserve">Growth of membership is ongoing with the network enabling the Trust to formally recognise armistice day in November 25. </w:t>
            </w:r>
          </w:p>
          <w:p w14:paraId="7F4A25FA" w14:textId="77777777" w:rsidR="00ED4A2A" w:rsidRPr="00ED4A2A" w:rsidRDefault="00ED4A2A" w:rsidP="00AD7662">
            <w:pPr>
              <w:pStyle w:val="ListParagraph"/>
              <w:spacing w:before="100" w:beforeAutospacing="1" w:after="100" w:afterAutospacing="1"/>
              <w:ind w:left="360"/>
            </w:pPr>
          </w:p>
          <w:p w14:paraId="759C7052" w14:textId="40D38472" w:rsidR="00AE5CE0" w:rsidRDefault="00687FBC" w:rsidP="00210242">
            <w:pPr>
              <w:pStyle w:val="ListParagraph"/>
              <w:numPr>
                <w:ilvl w:val="0"/>
                <w:numId w:val="7"/>
              </w:numPr>
              <w:spacing w:before="100" w:beforeAutospacing="1" w:after="100" w:afterAutospacing="1"/>
            </w:pPr>
            <w:r>
              <w:t xml:space="preserve">Whilst annualised sickness absence has reduced during 2025, the % of sickness related to long term has remained largely unchanged. </w:t>
            </w:r>
            <w:r w:rsidR="00AE5CE0" w:rsidRPr="00687FBC">
              <w:t>Line Managers continue to be supported by the HR team</w:t>
            </w:r>
            <w:r w:rsidR="00AE5CE0" w:rsidRPr="00EC1EDF">
              <w:t xml:space="preserve"> </w:t>
            </w:r>
            <w:r w:rsidR="00AE5CE0">
              <w:t xml:space="preserve">to actively </w:t>
            </w:r>
            <w:proofErr w:type="gramStart"/>
            <w:r w:rsidR="00AE5CE0">
              <w:t>manage</w:t>
            </w:r>
            <w:proofErr w:type="gramEnd"/>
            <w:r w:rsidR="00AE5CE0">
              <w:t xml:space="preserve"> and support staff absent from work due to long term sickness. </w:t>
            </w:r>
            <w:r w:rsidR="00AE5CE0" w:rsidRPr="00687FBC">
              <w:t>HR team</w:t>
            </w:r>
            <w:r w:rsidR="00AE5CE0" w:rsidRPr="00EC1EDF">
              <w:t xml:space="preserve"> provide weekly report of staff on </w:t>
            </w:r>
            <w:r w:rsidR="003913E5" w:rsidRPr="00EC1EDF">
              <w:t>long</w:t>
            </w:r>
            <w:r w:rsidR="00AE5CE0" w:rsidRPr="00EC1EDF">
              <w:t xml:space="preserve"> </w:t>
            </w:r>
            <w:r>
              <w:t xml:space="preserve">term sickness absence and support managers on implementation of Trust policy. </w:t>
            </w:r>
          </w:p>
          <w:p w14:paraId="4C8170B4" w14:textId="77777777" w:rsidR="003448B9" w:rsidRDefault="003448B9" w:rsidP="003448B9">
            <w:pPr>
              <w:pStyle w:val="ListParagraph"/>
            </w:pPr>
          </w:p>
          <w:p w14:paraId="289E47D6" w14:textId="77777777" w:rsidR="00AD7662" w:rsidRDefault="00AD7662" w:rsidP="00AD7662">
            <w:pPr>
              <w:pStyle w:val="ListParagraph"/>
              <w:spacing w:before="100" w:beforeAutospacing="1" w:after="100" w:afterAutospacing="1"/>
              <w:ind w:left="360"/>
            </w:pPr>
          </w:p>
          <w:p w14:paraId="1710613D" w14:textId="77777777" w:rsidR="00AE5CE0" w:rsidRPr="00EC1EDF" w:rsidRDefault="00AE5CE0" w:rsidP="00210242">
            <w:pPr>
              <w:pStyle w:val="ListParagraph"/>
              <w:numPr>
                <w:ilvl w:val="0"/>
                <w:numId w:val="7"/>
              </w:numPr>
              <w:spacing w:before="100" w:beforeAutospacing="1" w:after="100" w:afterAutospacing="1"/>
            </w:pPr>
            <w:r w:rsidRPr="00EC1EDF">
              <w:lastRenderedPageBreak/>
              <w:t>Based on monitoring data for Long -Term Sickness, or data shows that long term sickness can range from</w:t>
            </w:r>
            <w:r>
              <w:t>,</w:t>
            </w:r>
          </w:p>
          <w:p w14:paraId="1CCD75BF" w14:textId="77777777" w:rsidR="003448B9" w:rsidRDefault="003448B9" w:rsidP="003448B9">
            <w:pPr>
              <w:pStyle w:val="ListParagraph"/>
            </w:pPr>
          </w:p>
          <w:p w14:paraId="6A6F190E" w14:textId="77777777" w:rsidR="00AE5CE0" w:rsidRPr="00EC1EDF" w:rsidRDefault="00AE5CE0" w:rsidP="00210242">
            <w:pPr>
              <w:pStyle w:val="TableText"/>
              <w:numPr>
                <w:ilvl w:val="0"/>
                <w:numId w:val="8"/>
              </w:numPr>
              <w:jc w:val="both"/>
            </w:pPr>
            <w:r w:rsidRPr="00EC1EDF">
              <w:t>Anxiety/stress/depression/other psychiatric illnesses</w:t>
            </w:r>
          </w:p>
          <w:p w14:paraId="43211B42" w14:textId="77777777" w:rsidR="00AE5CE0" w:rsidRPr="00EC1EDF" w:rsidRDefault="00AE5CE0" w:rsidP="00210242">
            <w:pPr>
              <w:pStyle w:val="TableText"/>
              <w:numPr>
                <w:ilvl w:val="0"/>
                <w:numId w:val="8"/>
              </w:numPr>
              <w:jc w:val="both"/>
            </w:pPr>
            <w:r w:rsidRPr="00EC1EDF">
              <w:t>Other musculoskeletal problems</w:t>
            </w:r>
          </w:p>
          <w:p w14:paraId="681F7F67" w14:textId="3395B0E1" w:rsidR="00AE5CE0" w:rsidRPr="00EC1EDF" w:rsidRDefault="00AE5CE0" w:rsidP="00210242">
            <w:pPr>
              <w:pStyle w:val="TableText"/>
              <w:numPr>
                <w:ilvl w:val="0"/>
                <w:numId w:val="8"/>
              </w:numPr>
              <w:jc w:val="both"/>
            </w:pPr>
            <w:r w:rsidRPr="00EC1EDF">
              <w:t xml:space="preserve">Cold, Cough, Flu </w:t>
            </w:r>
            <w:r w:rsidR="003448B9">
              <w:t>–</w:t>
            </w:r>
            <w:r w:rsidRPr="00EC1EDF">
              <w:t xml:space="preserve"> Influenza</w:t>
            </w:r>
          </w:p>
          <w:p w14:paraId="2DF921F2" w14:textId="77777777" w:rsidR="009F14B9" w:rsidRDefault="00AE5CE0" w:rsidP="00210242">
            <w:pPr>
              <w:pStyle w:val="TableText"/>
              <w:numPr>
                <w:ilvl w:val="0"/>
                <w:numId w:val="8"/>
              </w:numPr>
              <w:jc w:val="both"/>
            </w:pPr>
            <w:r w:rsidRPr="00EC1EDF">
              <w:t>Chest &amp; respiratory problems</w:t>
            </w:r>
          </w:p>
          <w:p w14:paraId="6B435F8A" w14:textId="4B7945A8" w:rsidR="00AE5CE0" w:rsidRPr="00EC1EDF" w:rsidRDefault="009F14B9" w:rsidP="00210242">
            <w:pPr>
              <w:pStyle w:val="TableText"/>
              <w:numPr>
                <w:ilvl w:val="0"/>
                <w:numId w:val="8"/>
              </w:numPr>
              <w:jc w:val="both"/>
            </w:pPr>
            <w:r w:rsidRPr="00EC1EDF">
              <w:t>Benign and malignant tumours</w:t>
            </w:r>
          </w:p>
          <w:p w14:paraId="12B52F64" w14:textId="77777777" w:rsidR="00AE5CE0" w:rsidRPr="00EC1EDF" w:rsidRDefault="00AE5CE0" w:rsidP="00210242">
            <w:pPr>
              <w:pStyle w:val="TableText"/>
              <w:numPr>
                <w:ilvl w:val="0"/>
                <w:numId w:val="8"/>
              </w:numPr>
              <w:jc w:val="both"/>
            </w:pPr>
            <w:r w:rsidRPr="00EC1EDF">
              <w:t>Heart, cardiac &amp; circulatory problems</w:t>
            </w:r>
          </w:p>
          <w:p w14:paraId="4BE7C55A" w14:textId="77777777" w:rsidR="00AE5CE0" w:rsidRPr="00EC1EDF" w:rsidRDefault="00AE5CE0" w:rsidP="00210242">
            <w:pPr>
              <w:pStyle w:val="TableText"/>
              <w:numPr>
                <w:ilvl w:val="0"/>
                <w:numId w:val="8"/>
              </w:numPr>
              <w:jc w:val="both"/>
            </w:pPr>
            <w:r w:rsidRPr="00EC1EDF">
              <w:t>Dental and oral problems</w:t>
            </w:r>
          </w:p>
          <w:p w14:paraId="158AE61D" w14:textId="77777777" w:rsidR="00AE5CE0" w:rsidRPr="00EC1EDF" w:rsidRDefault="00AE5CE0" w:rsidP="00210242">
            <w:pPr>
              <w:pStyle w:val="TableText"/>
              <w:numPr>
                <w:ilvl w:val="0"/>
                <w:numId w:val="8"/>
              </w:numPr>
              <w:jc w:val="both"/>
            </w:pPr>
            <w:r w:rsidRPr="00EC1EDF">
              <w:t>Eye problems</w:t>
            </w:r>
          </w:p>
          <w:p w14:paraId="0CAAA6E7" w14:textId="77777777" w:rsidR="00AE5CE0" w:rsidRPr="00EC1EDF" w:rsidRDefault="00AE5CE0" w:rsidP="00210242">
            <w:pPr>
              <w:pStyle w:val="TableText"/>
              <w:numPr>
                <w:ilvl w:val="0"/>
                <w:numId w:val="8"/>
              </w:numPr>
              <w:jc w:val="both"/>
            </w:pPr>
            <w:r w:rsidRPr="00EC1EDF">
              <w:t>Gastrointestinal problems</w:t>
            </w:r>
          </w:p>
          <w:p w14:paraId="09D1A085" w14:textId="30470D0C" w:rsidR="00AE5CE0" w:rsidRPr="00EC1EDF" w:rsidRDefault="00AE5CE0" w:rsidP="00210242">
            <w:pPr>
              <w:pStyle w:val="TableText"/>
              <w:numPr>
                <w:ilvl w:val="0"/>
                <w:numId w:val="8"/>
              </w:numPr>
            </w:pPr>
            <w:r w:rsidRPr="00EC1EDF">
              <w:t>Genitourinary</w:t>
            </w:r>
            <w:r w:rsidR="003913E5">
              <w:t xml:space="preserve"> </w:t>
            </w:r>
            <w:r w:rsidRPr="00EC1EDF">
              <w:t>&amp;</w:t>
            </w:r>
            <w:r w:rsidR="003913E5">
              <w:t xml:space="preserve"> </w:t>
            </w:r>
            <w:r w:rsidRPr="00EC1EDF">
              <w:t>gynaecological disorders</w:t>
            </w:r>
          </w:p>
          <w:p w14:paraId="6A877F68" w14:textId="77777777" w:rsidR="00AD7662" w:rsidRDefault="00AE5CE0" w:rsidP="00210242">
            <w:pPr>
              <w:pStyle w:val="TableText"/>
              <w:numPr>
                <w:ilvl w:val="0"/>
                <w:numId w:val="8"/>
              </w:numPr>
              <w:jc w:val="both"/>
            </w:pPr>
            <w:r w:rsidRPr="00EC1EDF">
              <w:t>Injury, fracture</w:t>
            </w:r>
          </w:p>
          <w:p w14:paraId="1C77A375" w14:textId="682A14A3" w:rsidR="00AD7662" w:rsidRDefault="00AE5CE0" w:rsidP="00210242">
            <w:pPr>
              <w:pStyle w:val="TableText"/>
              <w:numPr>
                <w:ilvl w:val="0"/>
                <w:numId w:val="8"/>
              </w:numPr>
              <w:jc w:val="both"/>
            </w:pPr>
            <w:r w:rsidRPr="00EC1EDF">
              <w:t>Pregnancy related disorders</w:t>
            </w:r>
          </w:p>
          <w:p w14:paraId="69D59F4F" w14:textId="77777777" w:rsidR="00AD7662" w:rsidRDefault="00AD7662" w:rsidP="00210242">
            <w:pPr>
              <w:pStyle w:val="ListParagraph"/>
              <w:numPr>
                <w:ilvl w:val="0"/>
                <w:numId w:val="7"/>
              </w:numPr>
              <w:spacing w:before="100" w:beforeAutospacing="1" w:after="100" w:afterAutospacing="1"/>
            </w:pPr>
            <w:r w:rsidRPr="00ED4A2A">
              <w:t>The Trust health and wellbeing offer continues to support staff to be proactive in their approach to look after their wellbeing. A range of providers support this, from physical to mental health and beyond. Our wellbeing Hub, Health Assured and OH work collaboratively to provide support.</w:t>
            </w:r>
          </w:p>
          <w:p w14:paraId="75224D77" w14:textId="77777777" w:rsidR="00AD7662" w:rsidRDefault="00AD7662" w:rsidP="00AD7662">
            <w:pPr>
              <w:pStyle w:val="ListParagraph"/>
              <w:spacing w:before="100" w:beforeAutospacing="1" w:after="100" w:afterAutospacing="1"/>
              <w:ind w:left="360"/>
            </w:pPr>
          </w:p>
          <w:p w14:paraId="37B1C073" w14:textId="0EAB19A2" w:rsidR="003448B9" w:rsidRDefault="00AD7662" w:rsidP="00210242">
            <w:pPr>
              <w:pStyle w:val="ListParagraph"/>
              <w:numPr>
                <w:ilvl w:val="0"/>
                <w:numId w:val="7"/>
              </w:numPr>
              <w:spacing w:before="100" w:beforeAutospacing="1" w:after="100" w:afterAutospacing="1"/>
            </w:pPr>
            <w:r>
              <w:t xml:space="preserve">Initial analysis of exit interview data has been undertaken identifying </w:t>
            </w:r>
            <w:proofErr w:type="gramStart"/>
            <w:r>
              <w:t>a number of</w:t>
            </w:r>
            <w:proofErr w:type="gramEnd"/>
            <w:r>
              <w:t xml:space="preserve"> actions in </w:t>
            </w:r>
            <w:r>
              <w:lastRenderedPageBreak/>
              <w:t xml:space="preserve">November 25, to improve reporting and analysis by protected characteristics. </w:t>
            </w:r>
          </w:p>
          <w:p w14:paraId="75EC6366" w14:textId="750943FF" w:rsidR="00BF5B52" w:rsidRPr="009D1CC6" w:rsidRDefault="00BF5B52" w:rsidP="00AD7662">
            <w:pPr>
              <w:spacing w:before="100" w:beforeAutospacing="1" w:after="100" w:afterAutospacing="1"/>
            </w:pPr>
          </w:p>
        </w:tc>
        <w:tc>
          <w:tcPr>
            <w:tcW w:w="1134" w:type="dxa"/>
          </w:tcPr>
          <w:p w14:paraId="08AE335F" w14:textId="7912109D" w:rsidR="00BB480F" w:rsidRPr="009D1CC6" w:rsidRDefault="004F0398" w:rsidP="0087548A">
            <w:pPr>
              <w:pStyle w:val="TableText"/>
            </w:pPr>
            <w:r>
              <w:lastRenderedPageBreak/>
              <w:t xml:space="preserve"> 1 </w:t>
            </w:r>
          </w:p>
        </w:tc>
        <w:tc>
          <w:tcPr>
            <w:tcW w:w="2471" w:type="dxa"/>
          </w:tcPr>
          <w:p w14:paraId="0F56C0A5" w14:textId="77777777" w:rsidR="00BB480F" w:rsidRDefault="00033C32" w:rsidP="0087548A">
            <w:pPr>
              <w:pStyle w:val="TableText"/>
            </w:pPr>
            <w:r>
              <w:t>Deputy Chief People Officer</w:t>
            </w:r>
          </w:p>
          <w:p w14:paraId="251EEB54" w14:textId="77777777" w:rsidR="00033C32" w:rsidRDefault="00033C32" w:rsidP="0087548A">
            <w:pPr>
              <w:pStyle w:val="TableText"/>
            </w:pPr>
          </w:p>
          <w:p w14:paraId="0DA85471" w14:textId="77777777" w:rsidR="00033C32" w:rsidRDefault="00033C32" w:rsidP="0087548A">
            <w:pPr>
              <w:pStyle w:val="TableText"/>
            </w:pPr>
          </w:p>
          <w:p w14:paraId="64DCF31C" w14:textId="77777777" w:rsidR="00033C32" w:rsidRDefault="00033C32" w:rsidP="0087548A">
            <w:pPr>
              <w:pStyle w:val="TableText"/>
            </w:pPr>
          </w:p>
          <w:p w14:paraId="4F1A5AAC" w14:textId="77777777" w:rsidR="00033C32" w:rsidRDefault="00033C32" w:rsidP="0087548A">
            <w:pPr>
              <w:pStyle w:val="TableText"/>
            </w:pPr>
          </w:p>
          <w:p w14:paraId="291762C8" w14:textId="77777777" w:rsidR="00033C32" w:rsidRDefault="00033C32" w:rsidP="0087548A">
            <w:pPr>
              <w:pStyle w:val="TableText"/>
            </w:pPr>
          </w:p>
          <w:p w14:paraId="4349C980" w14:textId="77777777" w:rsidR="00033C32" w:rsidRDefault="00033C32" w:rsidP="0087548A">
            <w:pPr>
              <w:pStyle w:val="TableText"/>
            </w:pPr>
          </w:p>
          <w:p w14:paraId="441D4D99" w14:textId="77777777" w:rsidR="00033C32" w:rsidRDefault="00033C32" w:rsidP="0087548A">
            <w:pPr>
              <w:pStyle w:val="TableText"/>
            </w:pPr>
          </w:p>
          <w:p w14:paraId="083DF276" w14:textId="77777777" w:rsidR="00033C32" w:rsidRDefault="00033C32" w:rsidP="0087548A">
            <w:pPr>
              <w:pStyle w:val="TableText"/>
            </w:pPr>
          </w:p>
          <w:p w14:paraId="2282E7D3" w14:textId="77777777" w:rsidR="00033C32" w:rsidRDefault="00033C32" w:rsidP="0087548A">
            <w:pPr>
              <w:pStyle w:val="TableText"/>
            </w:pPr>
          </w:p>
          <w:p w14:paraId="32DAB67B" w14:textId="77777777" w:rsidR="00033C32" w:rsidRDefault="00033C32" w:rsidP="0087548A">
            <w:pPr>
              <w:pStyle w:val="TableText"/>
            </w:pPr>
          </w:p>
          <w:p w14:paraId="206EEADD" w14:textId="77777777" w:rsidR="00033C32" w:rsidRDefault="00033C32" w:rsidP="0087548A">
            <w:pPr>
              <w:pStyle w:val="TableText"/>
            </w:pPr>
          </w:p>
          <w:p w14:paraId="3723D56E" w14:textId="77777777" w:rsidR="00033C32" w:rsidRDefault="00033C32" w:rsidP="0087548A">
            <w:pPr>
              <w:pStyle w:val="TableText"/>
            </w:pPr>
          </w:p>
          <w:p w14:paraId="3C2B8DE0" w14:textId="77777777" w:rsidR="00033C32" w:rsidRDefault="00033C32" w:rsidP="0087548A">
            <w:pPr>
              <w:pStyle w:val="TableText"/>
            </w:pPr>
          </w:p>
          <w:p w14:paraId="19AD4625" w14:textId="77777777" w:rsidR="00033C32" w:rsidRDefault="00033C32" w:rsidP="0087548A">
            <w:pPr>
              <w:pStyle w:val="TableText"/>
            </w:pPr>
          </w:p>
          <w:p w14:paraId="38845A6E" w14:textId="77777777" w:rsidR="00033C32" w:rsidRDefault="00033C32" w:rsidP="0087548A">
            <w:pPr>
              <w:pStyle w:val="TableText"/>
            </w:pPr>
          </w:p>
          <w:p w14:paraId="49C1C320" w14:textId="77777777" w:rsidR="00033C32" w:rsidRDefault="00033C32" w:rsidP="0087548A">
            <w:pPr>
              <w:pStyle w:val="TableText"/>
            </w:pPr>
          </w:p>
          <w:p w14:paraId="25DDDFCF" w14:textId="77777777" w:rsidR="00033C32" w:rsidRDefault="00033C32" w:rsidP="0087548A">
            <w:pPr>
              <w:pStyle w:val="TableText"/>
            </w:pPr>
          </w:p>
          <w:p w14:paraId="101379F9" w14:textId="77777777" w:rsidR="00033C32" w:rsidRDefault="00033C32" w:rsidP="0087548A">
            <w:pPr>
              <w:pStyle w:val="TableText"/>
            </w:pPr>
          </w:p>
          <w:p w14:paraId="6C38A6D1" w14:textId="77777777" w:rsidR="00033C32" w:rsidRDefault="00033C32" w:rsidP="0087548A">
            <w:pPr>
              <w:pStyle w:val="TableText"/>
            </w:pPr>
          </w:p>
          <w:p w14:paraId="2ABDA8E4" w14:textId="77777777" w:rsidR="00033C32" w:rsidRDefault="00033C32" w:rsidP="0087548A">
            <w:pPr>
              <w:pStyle w:val="TableText"/>
            </w:pPr>
          </w:p>
          <w:p w14:paraId="61A4D209" w14:textId="77777777" w:rsidR="00033C32" w:rsidRDefault="00033C32" w:rsidP="0087548A">
            <w:pPr>
              <w:pStyle w:val="TableText"/>
            </w:pPr>
          </w:p>
          <w:p w14:paraId="47AFF60E" w14:textId="77777777" w:rsidR="00033C32" w:rsidRDefault="00033C32" w:rsidP="0087548A">
            <w:pPr>
              <w:pStyle w:val="TableText"/>
            </w:pPr>
          </w:p>
          <w:p w14:paraId="0E1323BA" w14:textId="77777777" w:rsidR="00033C32" w:rsidRDefault="00033C32" w:rsidP="0087548A">
            <w:pPr>
              <w:pStyle w:val="TableText"/>
            </w:pPr>
          </w:p>
          <w:p w14:paraId="1685992E" w14:textId="77777777" w:rsidR="00033C32" w:rsidRDefault="00033C32" w:rsidP="0087548A">
            <w:pPr>
              <w:pStyle w:val="TableText"/>
            </w:pPr>
          </w:p>
          <w:p w14:paraId="4287F936" w14:textId="77777777" w:rsidR="00033C32" w:rsidRDefault="00033C32" w:rsidP="0087548A">
            <w:pPr>
              <w:pStyle w:val="TableText"/>
            </w:pPr>
          </w:p>
          <w:p w14:paraId="37B3E7DD" w14:textId="77777777" w:rsidR="00033C32" w:rsidRDefault="00033C32" w:rsidP="0087548A">
            <w:pPr>
              <w:pStyle w:val="TableText"/>
            </w:pPr>
          </w:p>
          <w:p w14:paraId="0BEB2D92" w14:textId="77777777" w:rsidR="00033C32" w:rsidRDefault="00033C32" w:rsidP="0087548A">
            <w:pPr>
              <w:pStyle w:val="TableText"/>
            </w:pPr>
          </w:p>
          <w:p w14:paraId="50192094" w14:textId="77777777" w:rsidR="00033C32" w:rsidRDefault="00033C32" w:rsidP="0087548A">
            <w:pPr>
              <w:pStyle w:val="TableText"/>
            </w:pPr>
          </w:p>
          <w:p w14:paraId="38050F13" w14:textId="77777777" w:rsidR="00033C32" w:rsidRDefault="00033C32" w:rsidP="0087548A">
            <w:pPr>
              <w:pStyle w:val="TableText"/>
            </w:pPr>
          </w:p>
          <w:p w14:paraId="5E9A82FF" w14:textId="77777777" w:rsidR="00033C32" w:rsidRDefault="00033C32" w:rsidP="0087548A">
            <w:pPr>
              <w:pStyle w:val="TableText"/>
            </w:pPr>
          </w:p>
          <w:p w14:paraId="0650C3D3" w14:textId="77777777" w:rsidR="00033C32" w:rsidRDefault="00033C32" w:rsidP="0087548A">
            <w:pPr>
              <w:pStyle w:val="TableText"/>
            </w:pPr>
          </w:p>
          <w:p w14:paraId="044CBD8B" w14:textId="77777777" w:rsidR="00033C32" w:rsidRDefault="00033C32" w:rsidP="0087548A">
            <w:pPr>
              <w:pStyle w:val="TableText"/>
            </w:pPr>
          </w:p>
          <w:p w14:paraId="2BE3742A" w14:textId="0219CC01" w:rsidR="00033C32" w:rsidRDefault="00033C32" w:rsidP="00033C32">
            <w:pPr>
              <w:pStyle w:val="TableText"/>
            </w:pPr>
            <w:r>
              <w:t>Staff Experience and OD Coordinator – Inclusion/ Staff Networks</w:t>
            </w:r>
          </w:p>
          <w:p w14:paraId="57F8762D" w14:textId="77777777" w:rsidR="00033C32" w:rsidRDefault="00033C32" w:rsidP="00033C32">
            <w:pPr>
              <w:pStyle w:val="TableText"/>
            </w:pPr>
          </w:p>
          <w:p w14:paraId="2FB076A2" w14:textId="77777777" w:rsidR="00033C32" w:rsidRDefault="00033C32" w:rsidP="00033C32">
            <w:pPr>
              <w:pStyle w:val="TableText"/>
            </w:pPr>
          </w:p>
          <w:p w14:paraId="6D5E52F8" w14:textId="77777777" w:rsidR="00033C32" w:rsidRDefault="00033C32" w:rsidP="00033C32">
            <w:pPr>
              <w:pStyle w:val="TableText"/>
            </w:pPr>
          </w:p>
          <w:p w14:paraId="36BFE462" w14:textId="77777777" w:rsidR="00033C32" w:rsidRDefault="00033C32" w:rsidP="00033C32">
            <w:pPr>
              <w:pStyle w:val="TableText"/>
            </w:pPr>
          </w:p>
          <w:p w14:paraId="0259A44B" w14:textId="17E6C344" w:rsidR="00033C32" w:rsidRDefault="00033C32" w:rsidP="00033C32">
            <w:pPr>
              <w:pStyle w:val="TableText"/>
            </w:pPr>
            <w:r>
              <w:t>Deputy Chief People Officer</w:t>
            </w:r>
          </w:p>
          <w:p w14:paraId="5765D34E" w14:textId="77777777" w:rsidR="00033C32" w:rsidRDefault="00033C32" w:rsidP="00033C32">
            <w:pPr>
              <w:pStyle w:val="TableText"/>
            </w:pPr>
          </w:p>
          <w:p w14:paraId="7A7B77B4" w14:textId="77777777" w:rsidR="00033C32" w:rsidRDefault="00033C32" w:rsidP="00033C32">
            <w:pPr>
              <w:pStyle w:val="TableText"/>
            </w:pPr>
          </w:p>
          <w:p w14:paraId="253C8927" w14:textId="77777777" w:rsidR="00033C32" w:rsidRDefault="00033C32" w:rsidP="00033C32">
            <w:pPr>
              <w:pStyle w:val="TableText"/>
            </w:pPr>
          </w:p>
          <w:p w14:paraId="0C710286" w14:textId="77777777" w:rsidR="00033C32" w:rsidRDefault="00033C32" w:rsidP="00033C32">
            <w:pPr>
              <w:pStyle w:val="TableText"/>
            </w:pPr>
          </w:p>
          <w:p w14:paraId="0554C36A" w14:textId="77777777" w:rsidR="00033C32" w:rsidRDefault="00033C32" w:rsidP="00033C32">
            <w:pPr>
              <w:pStyle w:val="TableText"/>
            </w:pPr>
          </w:p>
          <w:p w14:paraId="614F002C" w14:textId="77777777" w:rsidR="00033C32" w:rsidRDefault="00033C32" w:rsidP="00033C32">
            <w:pPr>
              <w:pStyle w:val="TableText"/>
            </w:pPr>
          </w:p>
          <w:p w14:paraId="6AD7C839" w14:textId="77777777" w:rsidR="00033C32" w:rsidRDefault="00033C32" w:rsidP="00033C32">
            <w:pPr>
              <w:pStyle w:val="TableText"/>
            </w:pPr>
          </w:p>
          <w:p w14:paraId="45134058" w14:textId="77777777" w:rsidR="00033C32" w:rsidRDefault="00033C32" w:rsidP="00033C32">
            <w:pPr>
              <w:pStyle w:val="TableText"/>
            </w:pPr>
          </w:p>
          <w:p w14:paraId="61BF35FD" w14:textId="77777777" w:rsidR="00033C32" w:rsidRDefault="00033C32" w:rsidP="00033C32">
            <w:pPr>
              <w:pStyle w:val="TableText"/>
            </w:pPr>
          </w:p>
          <w:p w14:paraId="37EFD713" w14:textId="77777777" w:rsidR="00033C32" w:rsidRDefault="00033C32" w:rsidP="00033C32">
            <w:pPr>
              <w:pStyle w:val="TableText"/>
            </w:pPr>
          </w:p>
          <w:p w14:paraId="1A82D83D" w14:textId="77777777" w:rsidR="00033C32" w:rsidRDefault="00033C32" w:rsidP="00033C32">
            <w:pPr>
              <w:pStyle w:val="TableText"/>
            </w:pPr>
          </w:p>
          <w:p w14:paraId="2817D468" w14:textId="77777777" w:rsidR="00033C32" w:rsidRDefault="00033C32" w:rsidP="00033C32">
            <w:pPr>
              <w:pStyle w:val="TableText"/>
            </w:pPr>
          </w:p>
          <w:p w14:paraId="30D26DFB" w14:textId="77777777" w:rsidR="00033C32" w:rsidRDefault="00033C32" w:rsidP="00033C32">
            <w:pPr>
              <w:pStyle w:val="TableText"/>
            </w:pPr>
          </w:p>
          <w:p w14:paraId="77ADFA56" w14:textId="77777777" w:rsidR="00033C32" w:rsidRDefault="00033C32" w:rsidP="00033C32">
            <w:pPr>
              <w:pStyle w:val="TableText"/>
            </w:pPr>
          </w:p>
          <w:p w14:paraId="0EC4CDBC" w14:textId="77777777" w:rsidR="00033C32" w:rsidRDefault="00033C32" w:rsidP="00033C32">
            <w:pPr>
              <w:pStyle w:val="TableText"/>
            </w:pPr>
          </w:p>
          <w:p w14:paraId="58E5F9BA" w14:textId="77777777" w:rsidR="00033C32" w:rsidRDefault="00033C32" w:rsidP="00033C32">
            <w:pPr>
              <w:pStyle w:val="TableText"/>
            </w:pPr>
          </w:p>
          <w:p w14:paraId="0F84B465" w14:textId="77777777" w:rsidR="00033C32" w:rsidRDefault="00033C32" w:rsidP="00033C32">
            <w:pPr>
              <w:pStyle w:val="TableText"/>
            </w:pPr>
          </w:p>
          <w:p w14:paraId="698B4CEB" w14:textId="77777777" w:rsidR="00033C32" w:rsidRDefault="00033C32" w:rsidP="00033C32">
            <w:pPr>
              <w:pStyle w:val="TableText"/>
            </w:pPr>
          </w:p>
          <w:p w14:paraId="5CAB7D54" w14:textId="77777777" w:rsidR="00033C32" w:rsidRDefault="00033C32" w:rsidP="00033C32">
            <w:pPr>
              <w:pStyle w:val="TableText"/>
            </w:pPr>
          </w:p>
          <w:p w14:paraId="4E68468B" w14:textId="77777777" w:rsidR="00033C32" w:rsidRDefault="00033C32" w:rsidP="00033C32">
            <w:pPr>
              <w:pStyle w:val="TableText"/>
            </w:pPr>
          </w:p>
          <w:p w14:paraId="362746E7" w14:textId="77777777" w:rsidR="00033C32" w:rsidRDefault="00033C32" w:rsidP="00033C32">
            <w:pPr>
              <w:pStyle w:val="TableText"/>
            </w:pPr>
          </w:p>
          <w:p w14:paraId="102E4393" w14:textId="77777777" w:rsidR="00033C32" w:rsidRDefault="00033C32" w:rsidP="00033C32">
            <w:pPr>
              <w:pStyle w:val="TableText"/>
            </w:pPr>
          </w:p>
          <w:p w14:paraId="5A5F845C" w14:textId="77777777" w:rsidR="00033C32" w:rsidRDefault="00033C32" w:rsidP="00033C32">
            <w:pPr>
              <w:pStyle w:val="TableText"/>
            </w:pPr>
          </w:p>
          <w:p w14:paraId="220058F1" w14:textId="77777777" w:rsidR="00033C32" w:rsidRDefault="00033C32" w:rsidP="00033C32">
            <w:pPr>
              <w:pStyle w:val="TableText"/>
            </w:pPr>
          </w:p>
          <w:p w14:paraId="67A089BF" w14:textId="77777777" w:rsidR="00033C32" w:rsidRDefault="00033C32" w:rsidP="00033C32">
            <w:pPr>
              <w:pStyle w:val="TableText"/>
            </w:pPr>
          </w:p>
          <w:p w14:paraId="59FE7B5C" w14:textId="77777777" w:rsidR="00033C32" w:rsidRDefault="00033C32" w:rsidP="00033C32">
            <w:pPr>
              <w:pStyle w:val="TableText"/>
            </w:pPr>
          </w:p>
          <w:p w14:paraId="0A066A35" w14:textId="77777777" w:rsidR="00033C32" w:rsidRDefault="00033C32" w:rsidP="00033C32">
            <w:pPr>
              <w:pStyle w:val="TableText"/>
            </w:pPr>
          </w:p>
          <w:p w14:paraId="4C1FDA96" w14:textId="77777777" w:rsidR="00033C32" w:rsidRDefault="00033C32" w:rsidP="00033C32">
            <w:pPr>
              <w:pStyle w:val="TableText"/>
            </w:pPr>
          </w:p>
          <w:p w14:paraId="566AA55B" w14:textId="77777777" w:rsidR="00033C32" w:rsidRDefault="00033C32" w:rsidP="00033C32">
            <w:pPr>
              <w:pStyle w:val="TableText"/>
            </w:pPr>
          </w:p>
          <w:p w14:paraId="4D0182BB" w14:textId="0713D175" w:rsidR="00033C32" w:rsidRDefault="00033C32" w:rsidP="00033C32">
            <w:pPr>
              <w:pStyle w:val="TableText"/>
            </w:pPr>
            <w:r>
              <w:t>Staff Experience and OD Coordinator – Inclusion</w:t>
            </w:r>
          </w:p>
          <w:p w14:paraId="2B3EDA60" w14:textId="77777777" w:rsidR="00033C32" w:rsidRDefault="00033C32" w:rsidP="00033C32">
            <w:pPr>
              <w:pStyle w:val="TableText"/>
            </w:pPr>
          </w:p>
          <w:p w14:paraId="3754DAE0" w14:textId="77777777" w:rsidR="00033C32" w:rsidRDefault="00033C32" w:rsidP="00033C32">
            <w:pPr>
              <w:pStyle w:val="TableText"/>
            </w:pPr>
          </w:p>
          <w:p w14:paraId="574E4623" w14:textId="77777777" w:rsidR="00033C32" w:rsidRDefault="00033C32" w:rsidP="00033C32">
            <w:pPr>
              <w:pStyle w:val="TableText"/>
            </w:pPr>
          </w:p>
          <w:p w14:paraId="7498BBB1" w14:textId="77777777" w:rsidR="00033C32" w:rsidRDefault="00033C32" w:rsidP="00033C32">
            <w:pPr>
              <w:pStyle w:val="TableText"/>
            </w:pPr>
          </w:p>
          <w:p w14:paraId="0961077C" w14:textId="32DB01AB" w:rsidR="00033C32" w:rsidRDefault="00033C32" w:rsidP="00033C32">
            <w:pPr>
              <w:pStyle w:val="TableText"/>
            </w:pPr>
            <w:r>
              <w:t>Head of HR</w:t>
            </w:r>
          </w:p>
          <w:p w14:paraId="329AB3EB" w14:textId="77777777" w:rsidR="00033C32" w:rsidRDefault="00033C32" w:rsidP="00033C32">
            <w:pPr>
              <w:pStyle w:val="TableText"/>
            </w:pPr>
          </w:p>
          <w:p w14:paraId="3CAC79EA" w14:textId="77777777" w:rsidR="00033C32" w:rsidRDefault="00033C32" w:rsidP="00033C32">
            <w:pPr>
              <w:pStyle w:val="TableText"/>
            </w:pPr>
          </w:p>
          <w:p w14:paraId="69BD4372" w14:textId="77777777" w:rsidR="00033C32" w:rsidRDefault="00033C32" w:rsidP="00033C32">
            <w:pPr>
              <w:pStyle w:val="TableText"/>
            </w:pPr>
          </w:p>
          <w:p w14:paraId="7AC0E61D" w14:textId="77777777" w:rsidR="00033C32" w:rsidRDefault="00033C32" w:rsidP="00033C32">
            <w:pPr>
              <w:pStyle w:val="TableText"/>
            </w:pPr>
          </w:p>
          <w:p w14:paraId="24024368" w14:textId="77777777" w:rsidR="00033C32" w:rsidRDefault="00033C32" w:rsidP="00033C32">
            <w:pPr>
              <w:pStyle w:val="TableText"/>
            </w:pPr>
          </w:p>
          <w:p w14:paraId="7F34C90A" w14:textId="77777777" w:rsidR="00033C32" w:rsidRDefault="00033C32" w:rsidP="00033C32">
            <w:pPr>
              <w:pStyle w:val="TableText"/>
            </w:pPr>
          </w:p>
          <w:p w14:paraId="2CA64C2E" w14:textId="77777777" w:rsidR="00033C32" w:rsidRDefault="00033C32" w:rsidP="00033C32">
            <w:pPr>
              <w:pStyle w:val="TableText"/>
            </w:pPr>
          </w:p>
          <w:p w14:paraId="69E25DC9" w14:textId="77777777" w:rsidR="00033C32" w:rsidRDefault="00033C32" w:rsidP="00033C32">
            <w:pPr>
              <w:pStyle w:val="TableText"/>
            </w:pPr>
          </w:p>
          <w:p w14:paraId="3D9D718D" w14:textId="77777777" w:rsidR="00033C32" w:rsidRDefault="00033C32" w:rsidP="00033C32">
            <w:pPr>
              <w:pStyle w:val="TableText"/>
            </w:pPr>
          </w:p>
          <w:p w14:paraId="7AEF92E4" w14:textId="77777777" w:rsidR="00033C32" w:rsidRDefault="00033C32" w:rsidP="00033C32">
            <w:pPr>
              <w:pStyle w:val="TableText"/>
            </w:pPr>
          </w:p>
          <w:p w14:paraId="6C5AF2A1" w14:textId="77777777" w:rsidR="00033C32" w:rsidRDefault="00033C32" w:rsidP="00033C32">
            <w:pPr>
              <w:pStyle w:val="TableText"/>
            </w:pPr>
          </w:p>
          <w:p w14:paraId="03023CE2" w14:textId="77777777" w:rsidR="00033C32" w:rsidRDefault="00033C32" w:rsidP="00033C32">
            <w:pPr>
              <w:pStyle w:val="TableText"/>
            </w:pPr>
          </w:p>
          <w:p w14:paraId="72E94EBF" w14:textId="77777777" w:rsidR="00033C32" w:rsidRDefault="00033C32" w:rsidP="00033C32">
            <w:pPr>
              <w:pStyle w:val="TableText"/>
            </w:pPr>
          </w:p>
          <w:p w14:paraId="4B337CA0" w14:textId="77777777" w:rsidR="00033C32" w:rsidRDefault="00033C32" w:rsidP="00033C32">
            <w:pPr>
              <w:pStyle w:val="TableText"/>
            </w:pPr>
          </w:p>
          <w:p w14:paraId="5973F29A" w14:textId="77777777" w:rsidR="00033C32" w:rsidRDefault="00033C32" w:rsidP="00033C32">
            <w:pPr>
              <w:pStyle w:val="TableText"/>
            </w:pPr>
          </w:p>
          <w:p w14:paraId="30A40033" w14:textId="77777777" w:rsidR="00033C32" w:rsidRDefault="00033C32" w:rsidP="00033C32">
            <w:pPr>
              <w:pStyle w:val="TableText"/>
            </w:pPr>
          </w:p>
          <w:p w14:paraId="1864B539" w14:textId="77777777" w:rsidR="00033C32" w:rsidRDefault="00033C32" w:rsidP="00033C32">
            <w:pPr>
              <w:pStyle w:val="TableText"/>
            </w:pPr>
          </w:p>
          <w:p w14:paraId="0F77B857" w14:textId="77777777" w:rsidR="00033C32" w:rsidRDefault="00033C32" w:rsidP="00033C32">
            <w:pPr>
              <w:pStyle w:val="TableText"/>
            </w:pPr>
          </w:p>
          <w:p w14:paraId="01F196F2" w14:textId="77777777" w:rsidR="00033C32" w:rsidRDefault="00033C32" w:rsidP="00033C32">
            <w:pPr>
              <w:pStyle w:val="TableText"/>
            </w:pPr>
          </w:p>
          <w:p w14:paraId="078B83BD" w14:textId="77777777" w:rsidR="00033C32" w:rsidRDefault="00033C32" w:rsidP="00033C32">
            <w:pPr>
              <w:pStyle w:val="TableText"/>
            </w:pPr>
          </w:p>
          <w:p w14:paraId="7DF5095C" w14:textId="77777777" w:rsidR="00033C32" w:rsidRDefault="00033C32" w:rsidP="00033C32">
            <w:pPr>
              <w:pStyle w:val="TableText"/>
            </w:pPr>
          </w:p>
          <w:p w14:paraId="28F18C87" w14:textId="77777777" w:rsidR="00033C32" w:rsidRDefault="00033C32" w:rsidP="00033C32">
            <w:pPr>
              <w:pStyle w:val="TableText"/>
            </w:pPr>
          </w:p>
          <w:p w14:paraId="7AFF679F" w14:textId="77777777" w:rsidR="00033C32" w:rsidRDefault="00033C32" w:rsidP="00033C32">
            <w:pPr>
              <w:pStyle w:val="TableText"/>
            </w:pPr>
          </w:p>
          <w:p w14:paraId="4D7269C3" w14:textId="77777777" w:rsidR="00033C32" w:rsidRDefault="00033C32" w:rsidP="00033C32">
            <w:pPr>
              <w:pStyle w:val="TableText"/>
            </w:pPr>
          </w:p>
          <w:p w14:paraId="311884D5" w14:textId="77777777" w:rsidR="00033C32" w:rsidRDefault="00033C32" w:rsidP="00033C32">
            <w:pPr>
              <w:pStyle w:val="TableText"/>
            </w:pPr>
          </w:p>
          <w:p w14:paraId="7018F6E9" w14:textId="77777777" w:rsidR="00033C32" w:rsidRDefault="00033C32" w:rsidP="00033C32">
            <w:pPr>
              <w:pStyle w:val="TableText"/>
            </w:pPr>
          </w:p>
          <w:p w14:paraId="6AD75D08" w14:textId="77777777" w:rsidR="00033C32" w:rsidRDefault="00033C32" w:rsidP="00033C32">
            <w:pPr>
              <w:pStyle w:val="TableText"/>
            </w:pPr>
          </w:p>
          <w:p w14:paraId="638C0830" w14:textId="77777777" w:rsidR="00033C32" w:rsidRDefault="00033C32" w:rsidP="00033C32">
            <w:pPr>
              <w:pStyle w:val="TableText"/>
            </w:pPr>
          </w:p>
          <w:p w14:paraId="584224A1" w14:textId="77777777" w:rsidR="00033C32" w:rsidRDefault="00033C32" w:rsidP="00033C32">
            <w:pPr>
              <w:pStyle w:val="TableText"/>
            </w:pPr>
          </w:p>
          <w:p w14:paraId="4F8B8EDB" w14:textId="77777777" w:rsidR="00033C32" w:rsidRDefault="00033C32" w:rsidP="00033C32">
            <w:pPr>
              <w:pStyle w:val="TableText"/>
            </w:pPr>
          </w:p>
          <w:p w14:paraId="60467AF2" w14:textId="77777777" w:rsidR="00033C32" w:rsidRDefault="00033C32" w:rsidP="00033C32">
            <w:pPr>
              <w:pStyle w:val="TableText"/>
            </w:pPr>
          </w:p>
          <w:p w14:paraId="747323FF" w14:textId="77777777" w:rsidR="00033C32" w:rsidRDefault="00033C32" w:rsidP="00033C32">
            <w:pPr>
              <w:pStyle w:val="TableText"/>
            </w:pPr>
          </w:p>
          <w:p w14:paraId="5144E9BE" w14:textId="52F2FB7C" w:rsidR="00033C32" w:rsidRDefault="00033C32" w:rsidP="00033C32">
            <w:pPr>
              <w:pStyle w:val="TableText"/>
            </w:pPr>
            <w:r>
              <w:t>Occupational Health and Wellbeing Manager</w:t>
            </w:r>
          </w:p>
          <w:p w14:paraId="37E1900E" w14:textId="77777777" w:rsidR="00033C32" w:rsidRDefault="00033C32" w:rsidP="00033C32">
            <w:pPr>
              <w:pStyle w:val="TableText"/>
            </w:pPr>
          </w:p>
          <w:p w14:paraId="665660E1" w14:textId="77777777" w:rsidR="00033C32" w:rsidRDefault="00033C32" w:rsidP="00033C32">
            <w:pPr>
              <w:pStyle w:val="TableText"/>
            </w:pPr>
          </w:p>
          <w:p w14:paraId="025C4A0D" w14:textId="77777777" w:rsidR="00033C32" w:rsidRDefault="00033C32" w:rsidP="00033C32">
            <w:pPr>
              <w:pStyle w:val="TableText"/>
            </w:pPr>
          </w:p>
          <w:p w14:paraId="32B7A49F" w14:textId="77777777" w:rsidR="00033C32" w:rsidRDefault="00033C32" w:rsidP="00033C32">
            <w:pPr>
              <w:pStyle w:val="TableText"/>
            </w:pPr>
          </w:p>
          <w:p w14:paraId="77F2C6D5" w14:textId="77777777" w:rsidR="00033C32" w:rsidRDefault="00033C32" w:rsidP="00033C32">
            <w:pPr>
              <w:pStyle w:val="TableText"/>
            </w:pPr>
          </w:p>
          <w:p w14:paraId="1EF49EF3" w14:textId="2F8B68F3" w:rsidR="00033C32" w:rsidRDefault="00033C32" w:rsidP="00033C32">
            <w:pPr>
              <w:pStyle w:val="TableText"/>
            </w:pPr>
            <w:r>
              <w:t>Head of Staff Experience and OD</w:t>
            </w:r>
          </w:p>
          <w:p w14:paraId="65382FED" w14:textId="77777777" w:rsidR="00033C32" w:rsidRDefault="00033C32" w:rsidP="00033C32">
            <w:pPr>
              <w:pStyle w:val="TableText"/>
            </w:pPr>
          </w:p>
          <w:p w14:paraId="4AB4423C" w14:textId="77777777" w:rsidR="00033C32" w:rsidRDefault="00033C32" w:rsidP="00033C32">
            <w:pPr>
              <w:pStyle w:val="TableText"/>
            </w:pPr>
          </w:p>
          <w:p w14:paraId="203CBD43" w14:textId="77777777" w:rsidR="00033C32" w:rsidRDefault="00033C32" w:rsidP="0087548A">
            <w:pPr>
              <w:pStyle w:val="TableText"/>
            </w:pPr>
          </w:p>
          <w:p w14:paraId="1DF58BF8" w14:textId="38553BFD" w:rsidR="00033C32" w:rsidRPr="009D1CC6" w:rsidRDefault="00033C32" w:rsidP="0087548A">
            <w:pPr>
              <w:pStyle w:val="TableText"/>
            </w:pPr>
          </w:p>
        </w:tc>
      </w:tr>
      <w:tr w:rsidR="00900737" w:rsidRPr="009D1CC6" w14:paraId="181280ED" w14:textId="77777777" w:rsidTr="00B856E9">
        <w:tc>
          <w:tcPr>
            <w:tcW w:w="10343" w:type="dxa"/>
            <w:gridSpan w:val="3"/>
            <w:shd w:val="clear" w:color="auto" w:fill="BDDEFF" w:themeFill="accent1" w:themeFillTint="33"/>
          </w:tcPr>
          <w:p w14:paraId="692E93E7" w14:textId="34CA5550" w:rsidR="00BB480F" w:rsidRPr="009D1CC6" w:rsidRDefault="00BB480F" w:rsidP="00E33027">
            <w:pPr>
              <w:rPr>
                <w:rFonts w:cs="Arial"/>
                <w:b/>
              </w:rPr>
            </w:pPr>
            <w:r w:rsidRPr="009D1CC6">
              <w:rPr>
                <w:rFonts w:cs="Arial"/>
                <w:b/>
              </w:rPr>
              <w:lastRenderedPageBreak/>
              <w:t>Domain 2: Workforce health and well-being overall rating</w:t>
            </w:r>
          </w:p>
        </w:tc>
        <w:tc>
          <w:tcPr>
            <w:tcW w:w="1134" w:type="dxa"/>
          </w:tcPr>
          <w:p w14:paraId="3AECEF64" w14:textId="6E52DC9F" w:rsidR="00BB480F" w:rsidRPr="009D1CC6" w:rsidRDefault="00033C32" w:rsidP="00033C32">
            <w:pPr>
              <w:jc w:val="center"/>
              <w:rPr>
                <w:rFonts w:cs="Arial"/>
              </w:rPr>
            </w:pPr>
            <w:r>
              <w:rPr>
                <w:rFonts w:cs="Arial"/>
              </w:rPr>
              <w:t>7</w:t>
            </w:r>
          </w:p>
        </w:tc>
        <w:tc>
          <w:tcPr>
            <w:tcW w:w="2471" w:type="dxa"/>
            <w:shd w:val="clear" w:color="auto" w:fill="BDDEFF" w:themeFill="accent1" w:themeFillTint="33"/>
          </w:tcPr>
          <w:p w14:paraId="2EA8AD70" w14:textId="77777777" w:rsidR="00BB480F" w:rsidRPr="009D1CC6" w:rsidRDefault="00BB480F" w:rsidP="00E33027">
            <w:pPr>
              <w:rPr>
                <w:rFonts w:cs="Arial"/>
              </w:rPr>
            </w:pPr>
          </w:p>
        </w:tc>
      </w:tr>
    </w:tbl>
    <w:p w14:paraId="18E8B268" w14:textId="77777777" w:rsidR="00BB480F" w:rsidRPr="009D1CC6" w:rsidRDefault="00BB480F" w:rsidP="00BB480F">
      <w:pPr>
        <w:rPr>
          <w:rFonts w:cs="Arial"/>
        </w:rPr>
      </w:pPr>
    </w:p>
    <w:p w14:paraId="3210FD00" w14:textId="77777777" w:rsidR="00BB480F" w:rsidRPr="009D1CC6" w:rsidRDefault="00BB480F" w:rsidP="00BB480F">
      <w:pPr>
        <w:rPr>
          <w:rFonts w:cs="Arial"/>
        </w:rPr>
      </w:pPr>
      <w:r w:rsidRPr="009D1CC6">
        <w:rPr>
          <w:rFonts w:cs="Arial"/>
        </w:rPr>
        <w:br w:type="page"/>
      </w:r>
    </w:p>
    <w:p w14:paraId="50C6ABD6" w14:textId="77777777" w:rsidR="00BB480F" w:rsidRPr="009D1CC6" w:rsidRDefault="00BB480F" w:rsidP="0087548A">
      <w:pPr>
        <w:pStyle w:val="Heading2"/>
      </w:pPr>
      <w:r w:rsidRPr="009D1CC6">
        <w:lastRenderedPageBreak/>
        <w:t>Domain 3: Inclusive leadership</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091"/>
        <w:gridCol w:w="4010"/>
        <w:gridCol w:w="4969"/>
        <w:gridCol w:w="1118"/>
        <w:gridCol w:w="2408"/>
      </w:tblGrid>
      <w:tr w:rsidR="00BB480F" w:rsidRPr="009D1CC6" w14:paraId="07F3F03C" w14:textId="77777777" w:rsidTr="002D0893">
        <w:trPr>
          <w:trHeight w:val="364"/>
        </w:trPr>
        <w:tc>
          <w:tcPr>
            <w:tcW w:w="1097" w:type="dxa"/>
            <w:shd w:val="clear" w:color="auto" w:fill="BDDEFF" w:themeFill="accent1" w:themeFillTint="33"/>
          </w:tcPr>
          <w:p w14:paraId="70BB0B7A" w14:textId="77777777" w:rsidR="00BB480F" w:rsidRPr="009D1CC6" w:rsidRDefault="00BB480F" w:rsidP="002D0893">
            <w:pPr>
              <w:spacing w:afterLines="60" w:after="144" w:line="259" w:lineRule="auto"/>
              <w:rPr>
                <w:rFonts w:cs="Arial"/>
                <w:b/>
              </w:rPr>
            </w:pPr>
            <w:r w:rsidRPr="009D1CC6">
              <w:rPr>
                <w:rFonts w:cs="Arial"/>
                <w:b/>
              </w:rPr>
              <w:t>Domain</w:t>
            </w:r>
          </w:p>
        </w:tc>
        <w:tc>
          <w:tcPr>
            <w:tcW w:w="4143" w:type="dxa"/>
            <w:shd w:val="clear" w:color="auto" w:fill="BDDEFF" w:themeFill="accent1" w:themeFillTint="33"/>
          </w:tcPr>
          <w:p w14:paraId="52B4463F" w14:textId="77777777" w:rsidR="00BB480F" w:rsidRPr="009D1CC6" w:rsidRDefault="00BB480F" w:rsidP="002D0893">
            <w:pPr>
              <w:spacing w:afterLines="60" w:after="144" w:line="259" w:lineRule="auto"/>
              <w:rPr>
                <w:rFonts w:cs="Arial"/>
                <w:b/>
              </w:rPr>
            </w:pPr>
            <w:r w:rsidRPr="009D1CC6">
              <w:rPr>
                <w:rFonts w:cs="Arial"/>
                <w:b/>
              </w:rPr>
              <w:t>Outcome</w:t>
            </w:r>
          </w:p>
        </w:tc>
        <w:tc>
          <w:tcPr>
            <w:tcW w:w="5103" w:type="dxa"/>
            <w:shd w:val="clear" w:color="auto" w:fill="BDDEFF" w:themeFill="accent1" w:themeFillTint="33"/>
          </w:tcPr>
          <w:p w14:paraId="68F7D3B3" w14:textId="77777777" w:rsidR="00BB480F" w:rsidRPr="009D1CC6" w:rsidRDefault="00BB480F" w:rsidP="002D0893">
            <w:pPr>
              <w:spacing w:afterLines="60" w:after="144" w:line="259" w:lineRule="auto"/>
              <w:rPr>
                <w:rFonts w:cs="Arial"/>
                <w:b/>
              </w:rPr>
            </w:pPr>
            <w:r w:rsidRPr="009D1CC6">
              <w:rPr>
                <w:rFonts w:cs="Arial"/>
                <w:b/>
              </w:rPr>
              <w:t xml:space="preserve">Evidence </w:t>
            </w:r>
          </w:p>
        </w:tc>
        <w:tc>
          <w:tcPr>
            <w:tcW w:w="1134" w:type="dxa"/>
            <w:shd w:val="clear" w:color="auto" w:fill="BDDEFF" w:themeFill="accent1" w:themeFillTint="33"/>
          </w:tcPr>
          <w:p w14:paraId="06815AB0" w14:textId="77777777" w:rsidR="00BB480F" w:rsidRPr="009D1CC6" w:rsidRDefault="00BB480F" w:rsidP="002D0893">
            <w:pPr>
              <w:spacing w:afterLines="60" w:after="144" w:line="259" w:lineRule="auto"/>
              <w:rPr>
                <w:rFonts w:cs="Arial"/>
                <w:b/>
              </w:rPr>
            </w:pPr>
            <w:r w:rsidRPr="009D1CC6">
              <w:rPr>
                <w:rFonts w:cs="Arial"/>
                <w:b/>
              </w:rPr>
              <w:t>Rating</w:t>
            </w:r>
          </w:p>
        </w:tc>
        <w:tc>
          <w:tcPr>
            <w:tcW w:w="2471" w:type="dxa"/>
            <w:shd w:val="clear" w:color="auto" w:fill="BDDEFF" w:themeFill="accent1" w:themeFillTint="33"/>
          </w:tcPr>
          <w:p w14:paraId="2B80D18E" w14:textId="77777777" w:rsidR="00BB480F" w:rsidRPr="009D1CC6" w:rsidRDefault="00BB480F" w:rsidP="002D0893">
            <w:pPr>
              <w:spacing w:afterLines="60" w:after="144"/>
              <w:rPr>
                <w:rFonts w:cs="Arial"/>
                <w:b/>
              </w:rPr>
            </w:pPr>
            <w:r w:rsidRPr="009D1CC6">
              <w:rPr>
                <w:rFonts w:cs="Arial"/>
                <w:b/>
              </w:rPr>
              <w:t>Owner (Dept/Lead)</w:t>
            </w:r>
          </w:p>
        </w:tc>
      </w:tr>
      <w:tr w:rsidR="00BB480F" w:rsidRPr="009D1CC6" w14:paraId="3760CE31" w14:textId="77777777" w:rsidTr="002D0893">
        <w:trPr>
          <w:cantSplit/>
          <w:trHeight w:val="1632"/>
        </w:trPr>
        <w:tc>
          <w:tcPr>
            <w:tcW w:w="1097" w:type="dxa"/>
            <w:vMerge w:val="restart"/>
            <w:shd w:val="clear" w:color="auto" w:fill="BDDEFF" w:themeFill="accent1" w:themeFillTint="33"/>
            <w:textDirection w:val="btLr"/>
            <w:vAlign w:val="center"/>
          </w:tcPr>
          <w:p w14:paraId="3453D164" w14:textId="77777777" w:rsidR="00BB480F" w:rsidRPr="009D1CC6" w:rsidRDefault="00BB480F" w:rsidP="00E33027">
            <w:pPr>
              <w:jc w:val="center"/>
              <w:rPr>
                <w:rFonts w:cs="Arial"/>
                <w:b/>
                <w:i/>
              </w:rPr>
            </w:pPr>
            <w:r w:rsidRPr="009D1CC6">
              <w:rPr>
                <w:rFonts w:cs="Arial"/>
                <w:b/>
                <w:i/>
              </w:rPr>
              <w:lastRenderedPageBreak/>
              <w:t>Domain 3:</w:t>
            </w:r>
          </w:p>
          <w:p w14:paraId="0E94A786" w14:textId="77777777" w:rsidR="00BB480F" w:rsidRPr="009D1CC6" w:rsidRDefault="00BB480F" w:rsidP="00E33027">
            <w:pPr>
              <w:jc w:val="center"/>
              <w:rPr>
                <w:rFonts w:cs="Arial"/>
                <w:b/>
                <w:i/>
              </w:rPr>
            </w:pPr>
            <w:r w:rsidRPr="009D1CC6">
              <w:rPr>
                <w:rFonts w:cs="Arial"/>
                <w:b/>
                <w:i/>
              </w:rPr>
              <w:t xml:space="preserve"> Inclusive leadership</w:t>
            </w:r>
          </w:p>
          <w:p w14:paraId="77EB6A03" w14:textId="77777777" w:rsidR="00BB480F" w:rsidRPr="009D1CC6" w:rsidRDefault="00BB480F" w:rsidP="00E33027">
            <w:pPr>
              <w:spacing w:after="160" w:line="259" w:lineRule="auto"/>
              <w:jc w:val="center"/>
              <w:rPr>
                <w:rFonts w:cs="Arial"/>
              </w:rPr>
            </w:pPr>
          </w:p>
        </w:tc>
        <w:tc>
          <w:tcPr>
            <w:tcW w:w="4143" w:type="dxa"/>
            <w:shd w:val="clear" w:color="auto" w:fill="BDDEFF" w:themeFill="accent1" w:themeFillTint="33"/>
          </w:tcPr>
          <w:p w14:paraId="1D4EE6FC" w14:textId="77777777" w:rsidR="00BB480F" w:rsidRPr="009D1CC6" w:rsidRDefault="00BB480F" w:rsidP="002D0893">
            <w:pPr>
              <w:spacing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5103" w:type="dxa"/>
          </w:tcPr>
          <w:p w14:paraId="5428F577" w14:textId="77777777" w:rsidR="008A6420" w:rsidRDefault="008A6420" w:rsidP="00210242">
            <w:pPr>
              <w:pStyle w:val="ListParagraph"/>
              <w:numPr>
                <w:ilvl w:val="0"/>
                <w:numId w:val="7"/>
              </w:numPr>
              <w:spacing w:before="100" w:beforeAutospacing="1" w:after="100" w:afterAutospacing="1"/>
            </w:pPr>
            <w:r>
              <w:t xml:space="preserve">Our Board and system leaders (Band 9 and VSM) demonstrate their understanding of, and commitment to, equality and health inequalities and take positive action towards improving health inequality outcomes across the Trust. This is demonstrated by the following. </w:t>
            </w:r>
          </w:p>
          <w:p w14:paraId="35DE5590" w14:textId="31808BBB" w:rsidR="008A6420" w:rsidRDefault="008A6420" w:rsidP="00210242">
            <w:pPr>
              <w:pStyle w:val="ListParagraph"/>
              <w:numPr>
                <w:ilvl w:val="1"/>
                <w:numId w:val="7"/>
              </w:numPr>
              <w:spacing w:before="100" w:beforeAutospacing="1" w:after="100" w:afterAutospacing="1"/>
            </w:pPr>
            <w:r>
              <w:t>We have a visible Chief Executive who consistently advocate through staff team meeting forum and wider communications channels, the clear link between staff experience and patient outcomes.</w:t>
            </w:r>
          </w:p>
          <w:p w14:paraId="2F0C66A6" w14:textId="77777777" w:rsidR="008A6420" w:rsidRDefault="008A6420" w:rsidP="00210242">
            <w:pPr>
              <w:pStyle w:val="ListParagraph"/>
              <w:numPr>
                <w:ilvl w:val="1"/>
                <w:numId w:val="7"/>
              </w:numPr>
              <w:spacing w:before="100" w:beforeAutospacing="1" w:after="100" w:afterAutospacing="1"/>
            </w:pPr>
            <w:r>
              <w:t xml:space="preserve">The Trusts </w:t>
            </w:r>
            <w:proofErr w:type="spellStart"/>
            <w:proofErr w:type="gramStart"/>
            <w:r>
              <w:t>Non Executive</w:t>
            </w:r>
            <w:proofErr w:type="spellEnd"/>
            <w:proofErr w:type="gramEnd"/>
            <w:r>
              <w:t xml:space="preserve"> Directors and Chair, undertake visits to departments across the Trust, observing and listening to staff about what needs to be improved to enhance positive health outcomes for patients and reducing barriers impacting different groups of patients and staff. Mechanism in place for reporting to the Trust Chair and into Board.  </w:t>
            </w:r>
          </w:p>
          <w:p w14:paraId="71560362" w14:textId="77777777" w:rsidR="008A6420" w:rsidRDefault="008A6420" w:rsidP="00210242">
            <w:pPr>
              <w:pStyle w:val="ListParagraph"/>
              <w:numPr>
                <w:ilvl w:val="1"/>
                <w:numId w:val="7"/>
              </w:numPr>
              <w:spacing w:before="100" w:beforeAutospacing="1" w:after="100" w:afterAutospacing="1"/>
            </w:pPr>
            <w:r>
              <w:t>Board of Directors also develop their understanding of the barriers facing different groups of patients and staff through Patient and Staff Stories at Board meetings.</w:t>
            </w:r>
          </w:p>
          <w:p w14:paraId="4E0DBD82" w14:textId="02FF7639" w:rsidR="008A6420" w:rsidRDefault="008A6420" w:rsidP="00210242">
            <w:pPr>
              <w:pStyle w:val="ListParagraph"/>
              <w:numPr>
                <w:ilvl w:val="1"/>
                <w:numId w:val="7"/>
              </w:numPr>
              <w:spacing w:before="100" w:beforeAutospacing="1" w:after="100" w:afterAutospacing="1"/>
            </w:pPr>
            <w:r>
              <w:lastRenderedPageBreak/>
              <w:t>Our Directors and Executives play a key role in championing our Staff Networks as a way of demonstrating visible leadership and commitment to maters of diversity. The Trust has 7 active Staff Network Groups and Executive members nominated themselves as sponsors to different staff networks</w:t>
            </w:r>
            <w:r w:rsidR="005263E6">
              <w:t>.</w:t>
            </w:r>
            <w:r>
              <w:t xml:space="preserve"> </w:t>
            </w:r>
          </w:p>
          <w:p w14:paraId="07B0859F" w14:textId="2157FE33" w:rsidR="00DF68DD" w:rsidRDefault="00DF68DD" w:rsidP="00210242">
            <w:pPr>
              <w:pStyle w:val="ListParagraph"/>
              <w:numPr>
                <w:ilvl w:val="1"/>
                <w:numId w:val="7"/>
              </w:numPr>
            </w:pPr>
            <w:r w:rsidRPr="00DF68DD">
              <w:t>Senior leaders sponsor and attend reward and recognition events, such as the Celebration of Achievement Awards, to celebrate diversity and inclusion.</w:t>
            </w:r>
          </w:p>
          <w:p w14:paraId="0563C8BE" w14:textId="0997EE92" w:rsidR="005263E6" w:rsidRDefault="00DF68DD" w:rsidP="00210242">
            <w:pPr>
              <w:pStyle w:val="ListParagraph"/>
              <w:numPr>
                <w:ilvl w:val="1"/>
                <w:numId w:val="7"/>
              </w:numPr>
            </w:pPr>
            <w:r w:rsidRPr="00DF68DD">
              <w:t>All Trust Board members have developed specific, measurable EDI objectives for 2025/26, including a commitment to consistently embed anti-racist frameworks and practices.</w:t>
            </w:r>
          </w:p>
          <w:p w14:paraId="0A918700" w14:textId="77777777" w:rsidR="00534CA3" w:rsidRDefault="00534CA3" w:rsidP="00534CA3">
            <w:pPr>
              <w:pStyle w:val="ListParagraph"/>
              <w:ind w:left="1080"/>
            </w:pPr>
          </w:p>
          <w:p w14:paraId="1C766C80" w14:textId="18A673E0" w:rsidR="005263E6" w:rsidRDefault="005263E6" w:rsidP="00210242">
            <w:pPr>
              <w:pStyle w:val="TableText"/>
              <w:numPr>
                <w:ilvl w:val="0"/>
                <w:numId w:val="7"/>
              </w:numPr>
            </w:pPr>
            <w:r>
              <w:t>The Trust is committed to further developing the Board and line managers in relation to equality and health inequalities,</w:t>
            </w:r>
            <w:r w:rsidR="00DF68DD">
              <w:t xml:space="preserve"> embedding EDI as </w:t>
            </w:r>
            <w:proofErr w:type="spellStart"/>
            <w:r w:rsidR="00DF68DD">
              <w:t>everyones</w:t>
            </w:r>
            <w:proofErr w:type="spellEnd"/>
            <w:r w:rsidR="00DF68DD">
              <w:t xml:space="preserve"> responsibility. The Trust has</w:t>
            </w:r>
            <w:r>
              <w:t xml:space="preserve"> provid</w:t>
            </w:r>
            <w:r w:rsidR="00DF68DD">
              <w:t>ed</w:t>
            </w:r>
            <w:r>
              <w:t xml:space="preserve"> EDI training to line managers in 2025 via the First line Leaders programme and the Aspire Leadership Programme.  </w:t>
            </w:r>
          </w:p>
          <w:p w14:paraId="53464153" w14:textId="77777777" w:rsidR="005263E6" w:rsidRPr="005263E6" w:rsidRDefault="005263E6" w:rsidP="005263E6">
            <w:pPr>
              <w:pStyle w:val="TableText"/>
              <w:ind w:left="360"/>
            </w:pPr>
          </w:p>
          <w:p w14:paraId="54706D26" w14:textId="28A573F7" w:rsidR="005263E6" w:rsidRDefault="005263E6" w:rsidP="00210242">
            <w:pPr>
              <w:pStyle w:val="TableText"/>
              <w:numPr>
                <w:ilvl w:val="0"/>
                <w:numId w:val="7"/>
              </w:numPr>
            </w:pPr>
            <w:r w:rsidRPr="005263E6">
              <w:lastRenderedPageBreak/>
              <w:t xml:space="preserve">The Trust supported 11 members of staff to complete the ethnically diverse leadership course (the Elevate Programme), with a commitment to support a further cohort in line with programme availability. </w:t>
            </w:r>
          </w:p>
          <w:p w14:paraId="72B00140" w14:textId="77777777" w:rsidR="005263E6" w:rsidRDefault="005263E6" w:rsidP="008A6420">
            <w:pPr>
              <w:spacing w:line="259" w:lineRule="auto"/>
            </w:pPr>
          </w:p>
          <w:p w14:paraId="227712FF" w14:textId="3F13D7C5" w:rsidR="008A6420" w:rsidRDefault="0085109C" w:rsidP="00210242">
            <w:pPr>
              <w:pStyle w:val="TableText"/>
              <w:numPr>
                <w:ilvl w:val="0"/>
                <w:numId w:val="7"/>
              </w:numPr>
            </w:pPr>
            <w:r>
              <w:t>The Trusts Strategy is explicit in the organisations commitment to address health inequalities and using population health data, aiming to consider different ways of working with focus on health prevention, early intervention and exploring different models of Care. The Trust demonstrates this through c</w:t>
            </w:r>
            <w:r w:rsidR="005263E6">
              <w:t xml:space="preserve">ontinued partnership working </w:t>
            </w:r>
            <w:r w:rsidR="008A6420">
              <w:t>with Cheshire and Wirral Partnership (CWP) in improving mental health services</w:t>
            </w:r>
            <w:r w:rsidR="009917B6">
              <w:t xml:space="preserve"> and exploring further opportunities for partnership working within our place base. </w:t>
            </w:r>
            <w:r w:rsidR="008A6420">
              <w:t>By joining up service</w:t>
            </w:r>
            <w:r w:rsidR="005263E6">
              <w:t>s that were historically</w:t>
            </w:r>
            <w:r w:rsidR="008A6420">
              <w:t xml:space="preserve"> provided separately, we are making better patient decisions by pooling experience, expertise, and resource. </w:t>
            </w:r>
          </w:p>
          <w:p w14:paraId="65EE69D9" w14:textId="77777777" w:rsidR="009917B6" w:rsidRDefault="009917B6" w:rsidP="008A6420">
            <w:pPr>
              <w:spacing w:line="259" w:lineRule="auto"/>
            </w:pPr>
          </w:p>
          <w:p w14:paraId="58C3CB40" w14:textId="77777777" w:rsidR="009917B6" w:rsidRDefault="009917B6" w:rsidP="008A6420">
            <w:pPr>
              <w:spacing w:line="259" w:lineRule="auto"/>
            </w:pPr>
          </w:p>
          <w:p w14:paraId="42FE211B" w14:textId="1914033A" w:rsidR="008A6420" w:rsidRDefault="008A6420" w:rsidP="008A6420">
            <w:pPr>
              <w:spacing w:line="259" w:lineRule="auto"/>
            </w:pPr>
            <w:r>
              <w:t xml:space="preserve">Board Assurance and Development </w:t>
            </w:r>
            <w:r w:rsidR="009917B6">
              <w:t>r</w:t>
            </w:r>
            <w:r>
              <w:t xml:space="preserve">elating to Equality Diversity and Inclusion </w:t>
            </w:r>
          </w:p>
          <w:p w14:paraId="3BA79093" w14:textId="6B181B8B" w:rsidR="008A6420" w:rsidRDefault="008A6420" w:rsidP="00210242">
            <w:pPr>
              <w:pStyle w:val="TableText"/>
              <w:numPr>
                <w:ilvl w:val="0"/>
                <w:numId w:val="7"/>
              </w:numPr>
            </w:pPr>
            <w:r>
              <w:t xml:space="preserve">The Board is committed to ensuring that the Trust is meeting the requirements of the Public Sector Equality Duty and </w:t>
            </w:r>
            <w:r>
              <w:lastRenderedPageBreak/>
              <w:t>requires that an Annual EDI report is submitted to the Board for review</w:t>
            </w:r>
            <w:r w:rsidR="009917B6">
              <w:t xml:space="preserve">, before publishing on the Trust external website. </w:t>
            </w:r>
          </w:p>
          <w:p w14:paraId="67C738DE" w14:textId="053DF1CB" w:rsidR="008A6420" w:rsidRDefault="009917B6" w:rsidP="00210242">
            <w:pPr>
              <w:pStyle w:val="TableText"/>
              <w:numPr>
                <w:ilvl w:val="0"/>
                <w:numId w:val="7"/>
              </w:numPr>
            </w:pPr>
            <w:r>
              <w:t>In April 25</w:t>
            </w:r>
            <w:r w:rsidR="008A6420">
              <w:t>, the Board received the EDI Annual Report 2</w:t>
            </w:r>
            <w:r>
              <w:t>4</w:t>
            </w:r>
            <w:r w:rsidR="008A6420">
              <w:t>/2</w:t>
            </w:r>
            <w:r>
              <w:t>5</w:t>
            </w:r>
            <w:r w:rsidR="008A6420">
              <w:t xml:space="preserve"> which highlighted progress the Trust had made over the previous year in creating an inclusive workplace where all employees are treated fairly and with respect and outlined work still to be done</w:t>
            </w:r>
          </w:p>
          <w:p w14:paraId="48571C81" w14:textId="50EB835C" w:rsidR="00DF68DD" w:rsidRDefault="009917B6" w:rsidP="00210242">
            <w:pPr>
              <w:pStyle w:val="TableText"/>
              <w:numPr>
                <w:ilvl w:val="0"/>
                <w:numId w:val="7"/>
              </w:numPr>
            </w:pPr>
            <w:r>
              <w:t xml:space="preserve">The Board receives assurance via the People </w:t>
            </w:r>
            <w:r w:rsidR="0006163F">
              <w:t>Committee</w:t>
            </w:r>
            <w:r>
              <w:t xml:space="preserve"> that the Trust meets all external statutory reporting requirements in relation to its role as an employer. This includes the Trusts completion, approval and publishing of the 2025 WRES, WDES and Gender Pay Gap reports</w:t>
            </w:r>
            <w:r w:rsidR="00DF68DD">
              <w:t xml:space="preserve">. Reports include analysis of the data and </w:t>
            </w:r>
            <w:proofErr w:type="gramStart"/>
            <w:r w:rsidR="00DF68DD">
              <w:t>high level</w:t>
            </w:r>
            <w:proofErr w:type="gramEnd"/>
            <w:r w:rsidR="00DF68DD">
              <w:t xml:space="preserve"> actions. Key points from reports are summarised below.</w:t>
            </w:r>
          </w:p>
          <w:p w14:paraId="66210B07" w14:textId="1A6487C7" w:rsidR="00DF68DD" w:rsidRDefault="00DF68DD" w:rsidP="00210242">
            <w:pPr>
              <w:pStyle w:val="TableText"/>
              <w:numPr>
                <w:ilvl w:val="1"/>
                <w:numId w:val="7"/>
              </w:numPr>
            </w:pPr>
            <w:r>
              <w:t xml:space="preserve">Both the WRES and WDES reports show in year improvement against </w:t>
            </w:r>
            <w:r w:rsidR="0006163F">
              <w:t>several</w:t>
            </w:r>
            <w:r>
              <w:t xml:space="preserve"> indicators, indicating that the work being undertake is continuing to have a positive impact. </w:t>
            </w:r>
          </w:p>
          <w:p w14:paraId="39AAD49A" w14:textId="77777777" w:rsidR="00DF68DD" w:rsidRDefault="00DF68DD" w:rsidP="00210242">
            <w:pPr>
              <w:pStyle w:val="TableText"/>
              <w:numPr>
                <w:ilvl w:val="1"/>
                <w:numId w:val="7"/>
              </w:numPr>
            </w:pPr>
            <w:r>
              <w:t xml:space="preserve">When compared to the national average (previous year results), both the WRES and WDES reports show that we remain below the national average across </w:t>
            </w:r>
            <w:proofErr w:type="gramStart"/>
            <w:r>
              <w:t xml:space="preserve">the </w:t>
            </w:r>
            <w:r>
              <w:lastRenderedPageBreak/>
              <w:t>majority of</w:t>
            </w:r>
            <w:proofErr w:type="gramEnd"/>
            <w:r>
              <w:t xml:space="preserve"> indicators, indicating that there is still significant work to do. </w:t>
            </w:r>
          </w:p>
          <w:p w14:paraId="07505251" w14:textId="26E85252" w:rsidR="00DF68DD" w:rsidRDefault="00DF68DD" w:rsidP="00210242">
            <w:pPr>
              <w:pStyle w:val="TableText"/>
              <w:numPr>
                <w:ilvl w:val="1"/>
                <w:numId w:val="7"/>
              </w:numPr>
            </w:pPr>
            <w:r>
              <w:t xml:space="preserve">The Trusts Gender Pay Gap has remained unchanged in year at 26% in favour of male staff. In relation to spread of male and female employees across pay quartiles, there continues to be significantly more females employed within the Trust when compared to males. The gender </w:t>
            </w:r>
            <w:proofErr w:type="gramStart"/>
            <w:r>
              <w:t>pay</w:t>
            </w:r>
            <w:proofErr w:type="gramEnd"/>
            <w:r>
              <w:t xml:space="preserve"> gap average value of bonus pay had a gender pay gap difference of 63.63% in favour of male colleagues.</w:t>
            </w:r>
          </w:p>
          <w:p w14:paraId="07DAF611" w14:textId="77777777" w:rsidR="00DF68DD" w:rsidRDefault="00DF68DD" w:rsidP="00DF68DD">
            <w:pPr>
              <w:pStyle w:val="TableText"/>
              <w:ind w:left="1080"/>
            </w:pPr>
          </w:p>
          <w:p w14:paraId="40DC7F40" w14:textId="66FCD410" w:rsidR="00DF68DD" w:rsidRDefault="00DF68DD" w:rsidP="00210242">
            <w:pPr>
              <w:pStyle w:val="TableText"/>
              <w:numPr>
                <w:ilvl w:val="0"/>
                <w:numId w:val="7"/>
              </w:numPr>
            </w:pPr>
            <w:r>
              <w:t xml:space="preserve">The Trust has developed an integrated EDI Action Plan for workforce that has been designed to </w:t>
            </w:r>
            <w:r w:rsidR="00995C64" w:rsidRPr="00995C64">
              <w:t>ensure a coordinated and visible approach to improving EDI across the workforce</w:t>
            </w:r>
            <w:r w:rsidR="00995C64">
              <w:t xml:space="preserve">. This is reported and monitored via the People and Culture Sub-Committee with bi-annual reporting to People Committee in October and April. </w:t>
            </w:r>
          </w:p>
          <w:p w14:paraId="4CFE5E39" w14:textId="77777777" w:rsidR="008A6420" w:rsidRDefault="008A6420" w:rsidP="002D0893">
            <w:pPr>
              <w:spacing w:line="259" w:lineRule="auto"/>
            </w:pPr>
          </w:p>
          <w:p w14:paraId="7A5BC210" w14:textId="2D6DF0EA" w:rsidR="00526FED" w:rsidRDefault="00526FED" w:rsidP="00210242">
            <w:pPr>
              <w:pStyle w:val="ListParagraph"/>
              <w:numPr>
                <w:ilvl w:val="0"/>
                <w:numId w:val="9"/>
              </w:numPr>
              <w:spacing w:line="259" w:lineRule="auto"/>
              <w:rPr>
                <w:rFonts w:cs="Arial"/>
              </w:rPr>
            </w:pPr>
            <w:r w:rsidRPr="00526FED">
              <w:rPr>
                <w:rFonts w:cs="Arial"/>
              </w:rPr>
              <w:t>Board and senior leaders regularly participate in EDI training, workshops, and staff network events</w:t>
            </w:r>
            <w:r w:rsidR="00995C64">
              <w:rPr>
                <w:rFonts w:cs="Arial"/>
              </w:rPr>
              <w:t xml:space="preserve">, with EDI and </w:t>
            </w:r>
            <w:r w:rsidR="00995C64">
              <w:rPr>
                <w:rFonts w:cs="Arial"/>
              </w:rPr>
              <w:lastRenderedPageBreak/>
              <w:t xml:space="preserve">health inequalities featuring in Board discussions. </w:t>
            </w:r>
          </w:p>
          <w:p w14:paraId="0A9E94EB" w14:textId="77777777" w:rsidR="00A77D6D" w:rsidRPr="00526FED" w:rsidRDefault="00A77D6D" w:rsidP="00A77D6D">
            <w:pPr>
              <w:pStyle w:val="ListParagraph"/>
              <w:spacing w:line="259" w:lineRule="auto"/>
              <w:ind w:left="360"/>
              <w:rPr>
                <w:rFonts w:cs="Arial"/>
              </w:rPr>
            </w:pPr>
          </w:p>
          <w:p w14:paraId="4F50EF2E" w14:textId="77777777" w:rsidR="00526FED" w:rsidRDefault="00526FED" w:rsidP="00210242">
            <w:pPr>
              <w:pStyle w:val="ListParagraph"/>
              <w:numPr>
                <w:ilvl w:val="0"/>
                <w:numId w:val="9"/>
              </w:numPr>
              <w:spacing w:line="259" w:lineRule="auto"/>
              <w:rPr>
                <w:rFonts w:cs="Arial"/>
              </w:rPr>
            </w:pPr>
            <w:r w:rsidRPr="00526FED">
              <w:rPr>
                <w:rFonts w:cs="Arial"/>
              </w:rPr>
              <w:t>Board papers and committee minutes routinely reference equality impacts and mitigation strategies.</w:t>
            </w:r>
          </w:p>
          <w:p w14:paraId="1EFC48AE" w14:textId="77777777" w:rsidR="00995C64" w:rsidRDefault="00995C64" w:rsidP="00526FED">
            <w:pPr>
              <w:spacing w:line="259" w:lineRule="auto"/>
              <w:rPr>
                <w:rFonts w:cs="Arial"/>
              </w:rPr>
            </w:pPr>
          </w:p>
          <w:p w14:paraId="62537327" w14:textId="70C970F5" w:rsidR="00526FED" w:rsidRDefault="00526FED" w:rsidP="00526FED">
            <w:pPr>
              <w:spacing w:line="259" w:lineRule="auto"/>
              <w:rPr>
                <w:rFonts w:cs="Arial"/>
              </w:rPr>
            </w:pPr>
            <w:r w:rsidRPr="00526FED">
              <w:rPr>
                <w:rFonts w:cs="Arial"/>
              </w:rPr>
              <w:t xml:space="preserve">The Trust’s Board members and </w:t>
            </w:r>
            <w:r w:rsidR="00995C64">
              <w:rPr>
                <w:rFonts w:cs="Arial"/>
              </w:rPr>
              <w:t>line managers</w:t>
            </w:r>
            <w:r w:rsidRPr="00526FED">
              <w:rPr>
                <w:rFonts w:cs="Arial"/>
              </w:rPr>
              <w:t xml:space="preserve"> demonstrate their commitment to equality and health inequalities through clear objectives, ongoing training, and active engagement with staff networks and recognition programs. EDI is embedded in strategic decision-making, and leaders are visible champions of inclusive practice.</w:t>
            </w:r>
          </w:p>
          <w:p w14:paraId="5064AC60" w14:textId="77777777" w:rsidR="00033C32" w:rsidRDefault="00033C32" w:rsidP="00526FED">
            <w:pPr>
              <w:spacing w:line="259" w:lineRule="auto"/>
              <w:rPr>
                <w:rFonts w:cs="Arial"/>
              </w:rPr>
            </w:pPr>
          </w:p>
          <w:p w14:paraId="7700089E" w14:textId="72079175" w:rsidR="00F70DF8" w:rsidRPr="00526FED" w:rsidRDefault="00F70DF8" w:rsidP="002170A1">
            <w:pPr>
              <w:spacing w:line="259" w:lineRule="auto"/>
              <w:rPr>
                <w:rFonts w:cs="Arial"/>
              </w:rPr>
            </w:pPr>
          </w:p>
        </w:tc>
        <w:tc>
          <w:tcPr>
            <w:tcW w:w="1134" w:type="dxa"/>
          </w:tcPr>
          <w:p w14:paraId="575782A5" w14:textId="2C2A7151" w:rsidR="00BB480F" w:rsidRPr="009D1CC6" w:rsidRDefault="008A6420" w:rsidP="008A6420">
            <w:pPr>
              <w:spacing w:line="259" w:lineRule="auto"/>
              <w:jc w:val="center"/>
              <w:rPr>
                <w:rFonts w:cs="Arial"/>
              </w:rPr>
            </w:pPr>
            <w:r>
              <w:rPr>
                <w:rFonts w:cs="Arial"/>
              </w:rPr>
              <w:lastRenderedPageBreak/>
              <w:t>2</w:t>
            </w:r>
          </w:p>
        </w:tc>
        <w:tc>
          <w:tcPr>
            <w:tcW w:w="2471" w:type="dxa"/>
          </w:tcPr>
          <w:p w14:paraId="533BC77C" w14:textId="26A648B9" w:rsidR="00BB480F" w:rsidRPr="009D1CC6" w:rsidRDefault="00995C64" w:rsidP="002D0893">
            <w:pPr>
              <w:spacing w:line="259" w:lineRule="auto"/>
              <w:rPr>
                <w:rFonts w:cs="Arial"/>
              </w:rPr>
            </w:pPr>
            <w:r>
              <w:rPr>
                <w:rFonts w:cs="Arial"/>
              </w:rPr>
              <w:t>Trust Senior Leadership Team</w:t>
            </w:r>
          </w:p>
        </w:tc>
      </w:tr>
      <w:tr w:rsidR="00BB480F" w:rsidRPr="009D1CC6" w14:paraId="6D340945" w14:textId="77777777" w:rsidTr="002D0893">
        <w:trPr>
          <w:cantSplit/>
          <w:trHeight w:val="1393"/>
        </w:trPr>
        <w:tc>
          <w:tcPr>
            <w:tcW w:w="1097" w:type="dxa"/>
            <w:vMerge/>
            <w:shd w:val="clear" w:color="auto" w:fill="BDDEFF" w:themeFill="accent1" w:themeFillTint="33"/>
          </w:tcPr>
          <w:p w14:paraId="17D30818" w14:textId="77777777" w:rsidR="00BB480F" w:rsidRPr="009D1CC6" w:rsidRDefault="00BB480F" w:rsidP="00E33027">
            <w:pPr>
              <w:spacing w:after="160" w:line="259" w:lineRule="auto"/>
              <w:rPr>
                <w:rFonts w:cs="Arial"/>
              </w:rPr>
            </w:pPr>
          </w:p>
        </w:tc>
        <w:tc>
          <w:tcPr>
            <w:tcW w:w="4143" w:type="dxa"/>
            <w:shd w:val="clear" w:color="auto" w:fill="BDDEFF" w:themeFill="accent1" w:themeFillTint="33"/>
          </w:tcPr>
          <w:p w14:paraId="15EA2F7A" w14:textId="77777777" w:rsidR="00BB480F" w:rsidRPr="009D1CC6" w:rsidRDefault="00BB480F" w:rsidP="002D0893">
            <w:pPr>
              <w:spacing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5103" w:type="dxa"/>
          </w:tcPr>
          <w:p w14:paraId="2FDA6846" w14:textId="46B00985" w:rsidR="008F4EE4" w:rsidRPr="008F4EE4" w:rsidRDefault="008F4EE4" w:rsidP="008F4EE4">
            <w:pPr>
              <w:spacing w:line="259" w:lineRule="auto"/>
              <w:rPr>
                <w:rFonts w:cs="Arial"/>
                <w:b/>
                <w:bCs/>
              </w:rPr>
            </w:pPr>
            <w:r w:rsidRPr="008F4EE4">
              <w:rPr>
                <w:b/>
                <w:bCs/>
              </w:rPr>
              <w:t>Board Papers and Meeting Structure</w:t>
            </w:r>
          </w:p>
          <w:p w14:paraId="74B36727" w14:textId="5CC38F7B" w:rsidR="008F4EE4" w:rsidRPr="00033C32" w:rsidRDefault="008F4EE4" w:rsidP="00210242">
            <w:pPr>
              <w:pStyle w:val="ListParagraph"/>
              <w:numPr>
                <w:ilvl w:val="0"/>
                <w:numId w:val="10"/>
              </w:numPr>
              <w:spacing w:line="259" w:lineRule="auto"/>
              <w:rPr>
                <w:rFonts w:cs="Arial"/>
              </w:rPr>
            </w:pPr>
            <w:r w:rsidRPr="00033C32">
              <w:rPr>
                <w:rFonts w:cs="Arial"/>
              </w:rPr>
              <w:t xml:space="preserve">The Trust holds </w:t>
            </w:r>
            <w:r w:rsidRPr="00033C32">
              <w:rPr>
                <w:rFonts w:cs="Arial"/>
                <w:b/>
                <w:bCs/>
              </w:rPr>
              <w:t>six formal Board meetings</w:t>
            </w:r>
            <w:r w:rsidRPr="00033C32">
              <w:rPr>
                <w:rFonts w:cs="Arial"/>
              </w:rPr>
              <w:t xml:space="preserve"> and </w:t>
            </w:r>
            <w:r w:rsidRPr="00033C32">
              <w:rPr>
                <w:rFonts w:cs="Arial"/>
                <w:b/>
                <w:bCs/>
              </w:rPr>
              <w:t>two development sessions</w:t>
            </w:r>
            <w:r w:rsidRPr="00033C32">
              <w:rPr>
                <w:rFonts w:cs="Arial"/>
              </w:rPr>
              <w:t xml:space="preserve"> annually. A detailed </w:t>
            </w:r>
            <w:r w:rsidRPr="00033C32">
              <w:rPr>
                <w:rFonts w:cs="Arial"/>
                <w:b/>
                <w:bCs/>
              </w:rPr>
              <w:t>Board Plan</w:t>
            </w:r>
            <w:r w:rsidRPr="00033C32">
              <w:rPr>
                <w:rFonts w:cs="Arial"/>
              </w:rPr>
              <w:t xml:space="preserve"> is prepared by the Governance Team, which includes EDI discussions </w:t>
            </w:r>
          </w:p>
          <w:p w14:paraId="3240EEFE" w14:textId="750537C1" w:rsidR="00DE4F54" w:rsidRPr="00033C32" w:rsidRDefault="00DE4F54" w:rsidP="00210242">
            <w:pPr>
              <w:pStyle w:val="ListParagraph"/>
              <w:numPr>
                <w:ilvl w:val="0"/>
                <w:numId w:val="10"/>
              </w:numPr>
              <w:spacing w:line="259" w:lineRule="auto"/>
              <w:rPr>
                <w:rFonts w:cs="Arial"/>
                <w:color w:val="auto"/>
              </w:rPr>
            </w:pPr>
            <w:r w:rsidRPr="00033C32">
              <w:rPr>
                <w:rFonts w:cs="Arial"/>
                <w:color w:val="auto"/>
              </w:rPr>
              <w:t xml:space="preserve">All board papers require completion of a formal cover sheet which includes a Corporate Impact Assessment which confirms there is no direct discrimination against protected characteristics noted and satisfies EDI compliance against Equality Act 2010 duties and PSED 2 aims </w:t>
            </w:r>
          </w:p>
          <w:p w14:paraId="5E262DD4" w14:textId="1B0B9230" w:rsidR="00BB480F" w:rsidRPr="00033C32" w:rsidRDefault="008F4EE4" w:rsidP="00210242">
            <w:pPr>
              <w:pStyle w:val="ListParagraph"/>
              <w:numPr>
                <w:ilvl w:val="0"/>
                <w:numId w:val="10"/>
              </w:numPr>
              <w:spacing w:line="259" w:lineRule="auto"/>
              <w:rPr>
                <w:rFonts w:cs="Arial"/>
                <w:color w:val="auto"/>
              </w:rPr>
            </w:pPr>
            <w:r w:rsidRPr="00033C32">
              <w:rPr>
                <w:rFonts w:cs="Arial"/>
                <w:color w:val="auto"/>
              </w:rPr>
              <w:t xml:space="preserve">EDI is </w:t>
            </w:r>
            <w:r w:rsidR="00534CA3" w:rsidRPr="00033C32">
              <w:rPr>
                <w:rFonts w:cs="Arial"/>
                <w:color w:val="auto"/>
              </w:rPr>
              <w:t>discussed</w:t>
            </w:r>
            <w:r w:rsidR="00534CA3" w:rsidRPr="00033C32">
              <w:rPr>
                <w:rFonts w:cs="Arial"/>
                <w:b/>
                <w:bCs/>
                <w:color w:val="auto"/>
              </w:rPr>
              <w:t xml:space="preserve"> </w:t>
            </w:r>
            <w:r w:rsidRPr="00033C32">
              <w:rPr>
                <w:rFonts w:cs="Arial"/>
                <w:color w:val="auto"/>
              </w:rPr>
              <w:t>at Board meetings, and senior leaders are visible champions of inclusive practice.</w:t>
            </w:r>
          </w:p>
          <w:p w14:paraId="0033D214" w14:textId="77777777" w:rsidR="00081276" w:rsidRDefault="00081276" w:rsidP="00081276">
            <w:pPr>
              <w:pStyle w:val="ListParagraph"/>
              <w:spacing w:line="259" w:lineRule="auto"/>
              <w:ind w:left="360"/>
              <w:rPr>
                <w:rFonts w:cs="Arial"/>
              </w:rPr>
            </w:pPr>
          </w:p>
          <w:p w14:paraId="597A1B5D" w14:textId="35C9AF2B" w:rsidR="008F4EE4" w:rsidRPr="008F4EE4" w:rsidRDefault="008F4EE4" w:rsidP="008F4EE4">
            <w:pPr>
              <w:spacing w:line="259" w:lineRule="auto"/>
              <w:rPr>
                <w:rFonts w:cs="Arial"/>
                <w:b/>
                <w:bCs/>
              </w:rPr>
            </w:pPr>
            <w:r>
              <w:rPr>
                <w:b/>
                <w:bCs/>
              </w:rPr>
              <w:t>E</w:t>
            </w:r>
            <w:r w:rsidRPr="008F4EE4">
              <w:rPr>
                <w:b/>
                <w:bCs/>
              </w:rPr>
              <w:t>quality Impact Analysis (EIA) Integration</w:t>
            </w:r>
          </w:p>
          <w:p w14:paraId="27B5F282" w14:textId="5F5ECF73" w:rsidR="008F4EE4" w:rsidRPr="008F4EE4" w:rsidRDefault="008F4EE4" w:rsidP="00210242">
            <w:pPr>
              <w:pStyle w:val="ListParagraph"/>
              <w:numPr>
                <w:ilvl w:val="0"/>
                <w:numId w:val="10"/>
              </w:numPr>
              <w:spacing w:line="259" w:lineRule="auto"/>
              <w:rPr>
                <w:rFonts w:cs="Arial"/>
              </w:rPr>
            </w:pPr>
            <w:r w:rsidRPr="00081276">
              <w:rPr>
                <w:rFonts w:cs="Arial"/>
              </w:rPr>
              <w:t>A Manager’s Guide to Equality Impact Analysis</w:t>
            </w:r>
            <w:r w:rsidRPr="008F4EE4">
              <w:rPr>
                <w:rFonts w:cs="Arial"/>
              </w:rPr>
              <w:t xml:space="preserve"> </w:t>
            </w:r>
            <w:r w:rsidR="00081276">
              <w:rPr>
                <w:rFonts w:cs="Arial"/>
              </w:rPr>
              <w:t xml:space="preserve">is available on the Trust intranet </w:t>
            </w:r>
            <w:r w:rsidRPr="008F4EE4">
              <w:rPr>
                <w:rFonts w:cs="Arial"/>
              </w:rPr>
              <w:t xml:space="preserve">to support policy authors and programme leads in assessing equality-related risks and impacts. </w:t>
            </w:r>
          </w:p>
          <w:p w14:paraId="3048609C" w14:textId="525E73D6" w:rsidR="008F4EE4" w:rsidRDefault="00081276" w:rsidP="00210242">
            <w:pPr>
              <w:pStyle w:val="ListParagraph"/>
              <w:numPr>
                <w:ilvl w:val="0"/>
                <w:numId w:val="10"/>
              </w:numPr>
              <w:spacing w:line="259" w:lineRule="auto"/>
              <w:rPr>
                <w:rFonts w:cs="Arial"/>
              </w:rPr>
            </w:pPr>
            <w:r>
              <w:rPr>
                <w:rFonts w:cs="Arial"/>
              </w:rPr>
              <w:t xml:space="preserve">With a focus in 2025 on productivity and efficiencies, an EIA process was embedded in Trust Cost Improvement Programme activity. All programmes </w:t>
            </w:r>
            <w:r w:rsidR="002F7616">
              <w:rPr>
                <w:rFonts w:cs="Arial"/>
              </w:rPr>
              <w:t xml:space="preserve">are required to be triaged in relation to </w:t>
            </w:r>
            <w:r w:rsidR="002F7616">
              <w:rPr>
                <w:rFonts w:cs="Arial"/>
              </w:rPr>
              <w:lastRenderedPageBreak/>
              <w:t xml:space="preserve">whether an EIA is needed and, where identified, full EIAs are required. </w:t>
            </w:r>
          </w:p>
          <w:p w14:paraId="2FEFDBF7" w14:textId="41EB04AF" w:rsidR="008F4EE4" w:rsidRPr="002F7616" w:rsidRDefault="002F7616" w:rsidP="00210242">
            <w:pPr>
              <w:pStyle w:val="ListParagraph"/>
              <w:numPr>
                <w:ilvl w:val="0"/>
                <w:numId w:val="10"/>
              </w:numPr>
              <w:spacing w:line="259" w:lineRule="auto"/>
              <w:rPr>
                <w:rFonts w:cs="Arial"/>
              </w:rPr>
            </w:pPr>
            <w:r>
              <w:t xml:space="preserve">Whether in conjunction with the risk identified when completing an EIA or risk identified that impacts individuals and groups when assessing the Trust WRES and WDES data, gender pay gap data, the Board requires the People Committee to report details of the actions in place to address inequalities in the workplace and areas of focus. These are captured and reported within the </w:t>
            </w:r>
            <w:r w:rsidR="006D1758">
              <w:t>Integrated</w:t>
            </w:r>
            <w:r>
              <w:t xml:space="preserve"> Workforce EDI Action plan. </w:t>
            </w:r>
          </w:p>
          <w:p w14:paraId="4CC64615" w14:textId="77777777" w:rsidR="002921F7" w:rsidRPr="002921F7" w:rsidRDefault="002F7616" w:rsidP="00210242">
            <w:pPr>
              <w:pStyle w:val="ListParagraph"/>
              <w:numPr>
                <w:ilvl w:val="0"/>
                <w:numId w:val="10"/>
              </w:numPr>
              <w:spacing w:line="259" w:lineRule="auto"/>
              <w:rPr>
                <w:rFonts w:cs="Arial"/>
              </w:rPr>
            </w:pPr>
            <w:r>
              <w:t xml:space="preserve">Despite the above positive actions, </w:t>
            </w:r>
            <w:r w:rsidR="00E75001">
              <w:t>desktop audits have identified that</w:t>
            </w:r>
            <w:r>
              <w:t xml:space="preserve"> that policy authors and program managers can do better in identifying any equality related impacts through completion of EIAs and can improve the chances of engaging with relevant group that might be impacted. </w:t>
            </w:r>
          </w:p>
          <w:p w14:paraId="4D9B90EF" w14:textId="5FC968CC" w:rsidR="002F7616" w:rsidRPr="002921F7" w:rsidRDefault="00CF4114" w:rsidP="00210242">
            <w:pPr>
              <w:pStyle w:val="ListParagraph"/>
              <w:numPr>
                <w:ilvl w:val="0"/>
                <w:numId w:val="10"/>
              </w:numPr>
              <w:spacing w:line="259" w:lineRule="auto"/>
              <w:rPr>
                <w:rFonts w:cs="Arial"/>
                <w:color w:val="auto"/>
              </w:rPr>
            </w:pPr>
            <w:r w:rsidRPr="002921F7">
              <w:rPr>
                <w:color w:val="auto"/>
              </w:rPr>
              <w:t xml:space="preserve">Further work is required to refresh the Trust approach to Equality Impact Assessments to further strengthen </w:t>
            </w:r>
          </w:p>
          <w:p w14:paraId="0FB84699" w14:textId="00976453" w:rsidR="00045789" w:rsidRPr="002921F7" w:rsidRDefault="00045789" w:rsidP="00210242">
            <w:pPr>
              <w:pStyle w:val="ListParagraph"/>
              <w:numPr>
                <w:ilvl w:val="0"/>
                <w:numId w:val="10"/>
              </w:numPr>
              <w:spacing w:line="259" w:lineRule="auto"/>
              <w:rPr>
                <w:rFonts w:cs="Arial"/>
                <w:color w:val="auto"/>
              </w:rPr>
            </w:pPr>
            <w:r w:rsidRPr="002921F7">
              <w:rPr>
                <w:rFonts w:cs="Arial"/>
                <w:b/>
                <w:bCs/>
                <w:color w:val="auto"/>
              </w:rPr>
              <w:t>Equality Impact Screening as part of Cost Improvement Programme</w:t>
            </w:r>
            <w:r w:rsidR="002921F7" w:rsidRPr="002921F7">
              <w:rPr>
                <w:rFonts w:cs="Arial"/>
                <w:b/>
                <w:bCs/>
                <w:color w:val="auto"/>
              </w:rPr>
              <w:t xml:space="preserve"> - </w:t>
            </w:r>
            <w:r w:rsidRPr="002921F7">
              <w:rPr>
                <w:rFonts w:cs="Arial"/>
                <w:color w:val="auto"/>
              </w:rPr>
              <w:t xml:space="preserve">All cost improvement schemes which are identified </w:t>
            </w:r>
            <w:r w:rsidR="002921F7" w:rsidRPr="002921F7">
              <w:rPr>
                <w:rFonts w:cs="Arial"/>
                <w:color w:val="auto"/>
              </w:rPr>
              <w:t xml:space="preserve">for a value of </w:t>
            </w:r>
            <w:r w:rsidRPr="002921F7">
              <w:rPr>
                <w:rFonts w:cs="Arial"/>
                <w:color w:val="auto"/>
              </w:rPr>
              <w:t>above £25k</w:t>
            </w:r>
            <w:r w:rsidR="002921F7" w:rsidRPr="002921F7">
              <w:rPr>
                <w:rFonts w:cs="Arial"/>
                <w:color w:val="auto"/>
              </w:rPr>
              <w:t xml:space="preserve"> and</w:t>
            </w:r>
            <w:r w:rsidR="002921F7">
              <w:rPr>
                <w:rFonts w:cs="Arial"/>
                <w:color w:val="auto"/>
              </w:rPr>
              <w:t>/</w:t>
            </w:r>
            <w:r w:rsidR="002921F7" w:rsidRPr="002921F7">
              <w:rPr>
                <w:rFonts w:cs="Arial"/>
                <w:color w:val="auto"/>
              </w:rPr>
              <w:t>or have a workforce impact</w:t>
            </w:r>
            <w:r w:rsidRPr="002921F7">
              <w:rPr>
                <w:rFonts w:cs="Arial"/>
                <w:color w:val="auto"/>
              </w:rPr>
              <w:t xml:space="preserve"> will require a </w:t>
            </w:r>
            <w:r w:rsidRPr="002921F7">
              <w:rPr>
                <w:rFonts w:cs="Arial"/>
                <w:color w:val="auto"/>
              </w:rPr>
              <w:lastRenderedPageBreak/>
              <w:t>Project Initiation Document (PID)</w:t>
            </w:r>
            <w:r w:rsidR="002921F7" w:rsidRPr="002921F7">
              <w:rPr>
                <w:rFonts w:cs="Arial"/>
                <w:color w:val="auto"/>
              </w:rPr>
              <w:t xml:space="preserve"> that includes both a QIA and EIA.</w:t>
            </w:r>
          </w:p>
          <w:p w14:paraId="5F0F9AF0" w14:textId="34225BA5" w:rsidR="00045789" w:rsidRPr="002921F7" w:rsidRDefault="00045789" w:rsidP="00210242">
            <w:pPr>
              <w:pStyle w:val="ListParagraph"/>
              <w:numPr>
                <w:ilvl w:val="1"/>
                <w:numId w:val="10"/>
              </w:numPr>
              <w:spacing w:line="259" w:lineRule="auto"/>
              <w:rPr>
                <w:rFonts w:cs="Arial"/>
                <w:color w:val="auto"/>
              </w:rPr>
            </w:pPr>
            <w:r w:rsidRPr="002921F7">
              <w:rPr>
                <w:rFonts w:cs="Arial"/>
                <w:color w:val="auto"/>
              </w:rPr>
              <w:t>In 2025/26, 19 out of 114 schemes with QIAs have been noted to require full EIAs.</w:t>
            </w:r>
          </w:p>
          <w:p w14:paraId="542C1BFC" w14:textId="4D3B8FFF" w:rsidR="00045789" w:rsidRPr="008F4EE4" w:rsidRDefault="00045789" w:rsidP="00045789">
            <w:pPr>
              <w:pStyle w:val="ListParagraph"/>
              <w:spacing w:line="259" w:lineRule="auto"/>
              <w:ind w:left="360"/>
              <w:rPr>
                <w:rFonts w:cs="Arial"/>
              </w:rPr>
            </w:pPr>
          </w:p>
        </w:tc>
        <w:tc>
          <w:tcPr>
            <w:tcW w:w="1134" w:type="dxa"/>
          </w:tcPr>
          <w:p w14:paraId="3B3A6305" w14:textId="71CF57FB" w:rsidR="00BB480F" w:rsidRPr="009D1CC6" w:rsidRDefault="002921F7" w:rsidP="002921F7">
            <w:pPr>
              <w:spacing w:line="259" w:lineRule="auto"/>
              <w:jc w:val="center"/>
              <w:rPr>
                <w:rFonts w:cs="Arial"/>
              </w:rPr>
            </w:pPr>
            <w:r>
              <w:rPr>
                <w:rFonts w:cs="Arial"/>
              </w:rPr>
              <w:lastRenderedPageBreak/>
              <w:t>2</w:t>
            </w:r>
          </w:p>
        </w:tc>
        <w:tc>
          <w:tcPr>
            <w:tcW w:w="2471" w:type="dxa"/>
          </w:tcPr>
          <w:p w14:paraId="49F593CD" w14:textId="77777777" w:rsidR="00BB480F" w:rsidRPr="009D1CC6" w:rsidRDefault="00BB480F" w:rsidP="002D0893">
            <w:pPr>
              <w:spacing w:line="259" w:lineRule="auto"/>
              <w:rPr>
                <w:rFonts w:cs="Arial"/>
              </w:rPr>
            </w:pPr>
          </w:p>
        </w:tc>
      </w:tr>
      <w:tr w:rsidR="00BB480F" w:rsidRPr="009D1CC6" w14:paraId="7ABB8455" w14:textId="77777777" w:rsidTr="002D0893">
        <w:trPr>
          <w:cantSplit/>
          <w:trHeight w:val="1474"/>
        </w:trPr>
        <w:tc>
          <w:tcPr>
            <w:tcW w:w="1097" w:type="dxa"/>
            <w:vMerge/>
            <w:shd w:val="clear" w:color="auto" w:fill="BDDEFF" w:themeFill="accent1" w:themeFillTint="33"/>
          </w:tcPr>
          <w:p w14:paraId="00548831" w14:textId="77777777" w:rsidR="00BB480F" w:rsidRPr="009D1CC6" w:rsidRDefault="00BB480F" w:rsidP="00E33027">
            <w:pPr>
              <w:spacing w:after="160" w:line="259" w:lineRule="auto"/>
              <w:rPr>
                <w:rFonts w:cs="Arial"/>
              </w:rPr>
            </w:pPr>
          </w:p>
        </w:tc>
        <w:tc>
          <w:tcPr>
            <w:tcW w:w="4143" w:type="dxa"/>
            <w:shd w:val="clear" w:color="auto" w:fill="BDDEFF" w:themeFill="accent1" w:themeFillTint="33"/>
          </w:tcPr>
          <w:p w14:paraId="45F97779" w14:textId="77777777" w:rsidR="00BB480F" w:rsidRPr="009D1CC6" w:rsidRDefault="00BB480F" w:rsidP="002D0893">
            <w:pPr>
              <w:spacing w:line="259" w:lineRule="auto"/>
              <w:rPr>
                <w:rFonts w:cs="Arial"/>
              </w:rPr>
            </w:pPr>
            <w:r w:rsidRPr="009D1CC6">
              <w:rPr>
                <w:rFonts w:cs="Arial"/>
              </w:rPr>
              <w:t>3C: Board members and system leaders (Band 9 and VSM) ensure levers are in place to manage performance and monitor progress with staff and patients</w:t>
            </w:r>
          </w:p>
        </w:tc>
        <w:tc>
          <w:tcPr>
            <w:tcW w:w="5103" w:type="dxa"/>
          </w:tcPr>
          <w:p w14:paraId="332A6738" w14:textId="0A96031E" w:rsidR="00C37559" w:rsidRDefault="002F7616" w:rsidP="00210242">
            <w:pPr>
              <w:pStyle w:val="ListParagraph"/>
              <w:numPr>
                <w:ilvl w:val="0"/>
                <w:numId w:val="11"/>
              </w:numPr>
              <w:spacing w:line="259" w:lineRule="auto"/>
              <w:rPr>
                <w:rFonts w:cs="Arial"/>
              </w:rPr>
            </w:pPr>
            <w:r>
              <w:rPr>
                <w:rFonts w:cs="Arial"/>
              </w:rPr>
              <w:t xml:space="preserve">The Trust has strengthened People Governance Structures in 2025, including the monitoring and reporting of workforce EDI. </w:t>
            </w:r>
            <w:proofErr w:type="gramStart"/>
            <w:r>
              <w:rPr>
                <w:rFonts w:cs="Arial"/>
              </w:rPr>
              <w:t xml:space="preserve">An </w:t>
            </w:r>
            <w:proofErr w:type="spellStart"/>
            <w:r>
              <w:rPr>
                <w:rFonts w:cs="Arial"/>
              </w:rPr>
              <w:t>Intergrated</w:t>
            </w:r>
            <w:proofErr w:type="spellEnd"/>
            <w:r>
              <w:rPr>
                <w:rFonts w:cs="Arial"/>
              </w:rPr>
              <w:t xml:space="preserve"> EDI workforce action plan,</w:t>
            </w:r>
            <w:proofErr w:type="gramEnd"/>
            <w:r>
              <w:rPr>
                <w:rFonts w:cs="Arial"/>
              </w:rPr>
              <w:t xml:space="preserve"> is reported through the People and Culture Sub-committee. Exception reporting through to People Committee provides updates as required in between the formal workforce EDI reporting in October and April. </w:t>
            </w:r>
          </w:p>
          <w:p w14:paraId="4A3C26CA" w14:textId="4D8D1DD5" w:rsidR="002F7616" w:rsidRDefault="002F7616" w:rsidP="00210242">
            <w:pPr>
              <w:pStyle w:val="ListParagraph"/>
              <w:numPr>
                <w:ilvl w:val="0"/>
                <w:numId w:val="11"/>
              </w:numPr>
              <w:spacing w:line="259" w:lineRule="auto"/>
              <w:rPr>
                <w:rFonts w:cs="Arial"/>
              </w:rPr>
            </w:pPr>
            <w:r>
              <w:rPr>
                <w:rFonts w:cs="Arial"/>
              </w:rPr>
              <w:t>Risks in relation to workforce equality and health inequalities are identified and reported through the Sub-Committee as above, including the current r</w:t>
            </w:r>
            <w:r w:rsidRPr="002F7616">
              <w:rPr>
                <w:rFonts w:cs="Arial"/>
              </w:rPr>
              <w:t>isk ID 3323 - Poor staff experience especially for BAME staff and those with disabilities resulting in poor levels of morale, high sickness levels, increased churn and impact on providing the best patient care. Likelihood 3 (Possible) - Consequence 3 (Moderate). Current Risk Score 9 (Moderate)</w:t>
            </w:r>
          </w:p>
          <w:p w14:paraId="158B2148" w14:textId="49B53B35" w:rsidR="006D1758" w:rsidRPr="002921F7" w:rsidRDefault="006D1758" w:rsidP="00210242">
            <w:pPr>
              <w:pStyle w:val="ListParagraph"/>
              <w:numPr>
                <w:ilvl w:val="0"/>
                <w:numId w:val="11"/>
              </w:numPr>
              <w:spacing w:line="259" w:lineRule="auto"/>
              <w:rPr>
                <w:rFonts w:cs="Arial"/>
                <w:color w:val="auto"/>
              </w:rPr>
            </w:pPr>
            <w:r w:rsidRPr="002921F7">
              <w:rPr>
                <w:rFonts w:cs="Arial"/>
                <w:color w:val="auto"/>
              </w:rPr>
              <w:t xml:space="preserve">All VSM Executives have completed their appraisal. This is being monitored through Corporate Division People Analytics and Key Performance Indicator Report prepared by the HR Business Partner for Corporate Services. </w:t>
            </w:r>
          </w:p>
          <w:p w14:paraId="2C192A1E" w14:textId="20AB5A77" w:rsidR="006D1758" w:rsidRPr="002921F7" w:rsidRDefault="006D1758" w:rsidP="00210242">
            <w:pPr>
              <w:pStyle w:val="ListParagraph"/>
              <w:numPr>
                <w:ilvl w:val="0"/>
                <w:numId w:val="11"/>
              </w:numPr>
              <w:spacing w:line="259" w:lineRule="auto"/>
              <w:rPr>
                <w:rFonts w:cs="Arial"/>
                <w:color w:val="auto"/>
              </w:rPr>
            </w:pPr>
            <w:r w:rsidRPr="002921F7">
              <w:rPr>
                <w:rFonts w:cs="Arial"/>
                <w:b/>
                <w:bCs/>
                <w:color w:val="auto"/>
              </w:rPr>
              <w:t xml:space="preserve">EDI Training Performance and Monitoring Data </w:t>
            </w:r>
          </w:p>
          <w:p w14:paraId="5C717AF7" w14:textId="16DE866C" w:rsidR="006D1758" w:rsidRPr="002921F7" w:rsidRDefault="006D1758" w:rsidP="00210242">
            <w:pPr>
              <w:pStyle w:val="ListParagraph"/>
              <w:numPr>
                <w:ilvl w:val="0"/>
                <w:numId w:val="11"/>
              </w:numPr>
              <w:spacing w:line="259" w:lineRule="auto"/>
              <w:rPr>
                <w:rFonts w:cs="Arial"/>
                <w:color w:val="auto"/>
              </w:rPr>
            </w:pPr>
            <w:r w:rsidRPr="002921F7">
              <w:rPr>
                <w:rFonts w:cs="Arial"/>
                <w:color w:val="auto"/>
              </w:rPr>
              <w:lastRenderedPageBreak/>
              <w:t xml:space="preserve">Our overall Trust Equality, Diversity and Human Right Training compliance as of December 2025 is </w:t>
            </w:r>
            <w:r w:rsidRPr="002921F7">
              <w:rPr>
                <w:rFonts w:cs="Arial"/>
                <w:b/>
                <w:bCs/>
                <w:color w:val="auto"/>
                <w:u w:val="single"/>
              </w:rPr>
              <w:t xml:space="preserve">93.14%, </w:t>
            </w:r>
            <w:r w:rsidRPr="002921F7">
              <w:rPr>
                <w:rFonts w:cs="Arial"/>
                <w:color w:val="auto"/>
              </w:rPr>
              <w:t xml:space="preserve">demonstrating our staff commitment to learning about EDI and the Trust’s leadership to monitor compliance. This is reported and monitored via the Trusts People Governance Structures. </w:t>
            </w:r>
          </w:p>
          <w:p w14:paraId="08874D2B" w14:textId="77777777" w:rsidR="006D1758" w:rsidRPr="002921F7" w:rsidRDefault="006D1758" w:rsidP="00210242">
            <w:pPr>
              <w:pStyle w:val="ListParagraph"/>
              <w:numPr>
                <w:ilvl w:val="0"/>
                <w:numId w:val="11"/>
              </w:numPr>
              <w:spacing w:line="259" w:lineRule="auto"/>
              <w:rPr>
                <w:rFonts w:cs="Arial"/>
                <w:color w:val="auto"/>
              </w:rPr>
            </w:pPr>
            <w:r w:rsidRPr="002921F7">
              <w:rPr>
                <w:rFonts w:cs="Arial"/>
                <w:color w:val="auto"/>
              </w:rPr>
              <w:t xml:space="preserve">In addition to the mandatory training, all staff are supported to access training on specific topics including:  </w:t>
            </w:r>
          </w:p>
          <w:p w14:paraId="49A832A0" w14:textId="77777777" w:rsidR="006D1758" w:rsidRPr="002921F7" w:rsidRDefault="006D1758" w:rsidP="00210242">
            <w:pPr>
              <w:pStyle w:val="ListParagraph"/>
              <w:numPr>
                <w:ilvl w:val="1"/>
                <w:numId w:val="11"/>
              </w:numPr>
              <w:spacing w:line="259" w:lineRule="auto"/>
              <w:rPr>
                <w:rFonts w:cs="Arial"/>
                <w:color w:val="auto"/>
              </w:rPr>
            </w:pPr>
            <w:r w:rsidRPr="002921F7">
              <w:rPr>
                <w:rFonts w:cs="Arial"/>
                <w:color w:val="auto"/>
              </w:rPr>
              <w:t xml:space="preserve">Oliver McGowan training </w:t>
            </w:r>
          </w:p>
          <w:p w14:paraId="54AB1351" w14:textId="77777777" w:rsidR="006D1758" w:rsidRPr="002921F7" w:rsidRDefault="006D1758" w:rsidP="00210242">
            <w:pPr>
              <w:pStyle w:val="ListParagraph"/>
              <w:numPr>
                <w:ilvl w:val="1"/>
                <w:numId w:val="11"/>
              </w:numPr>
              <w:spacing w:line="259" w:lineRule="auto"/>
              <w:rPr>
                <w:rFonts w:cs="Arial"/>
                <w:color w:val="auto"/>
              </w:rPr>
            </w:pPr>
            <w:r w:rsidRPr="002921F7">
              <w:rPr>
                <w:rFonts w:cs="Arial"/>
                <w:color w:val="auto"/>
              </w:rPr>
              <w:t xml:space="preserve">EDI Training to managers and leaders via Trust processes. </w:t>
            </w:r>
          </w:p>
          <w:p w14:paraId="4210F98B" w14:textId="77777777" w:rsidR="006D1758" w:rsidRPr="002921F7" w:rsidRDefault="006D1758" w:rsidP="00210242">
            <w:pPr>
              <w:pStyle w:val="ListParagraph"/>
              <w:numPr>
                <w:ilvl w:val="1"/>
                <w:numId w:val="11"/>
              </w:numPr>
              <w:spacing w:line="259" w:lineRule="auto"/>
              <w:rPr>
                <w:rFonts w:cs="Arial"/>
                <w:color w:val="auto"/>
              </w:rPr>
            </w:pPr>
            <w:r w:rsidRPr="002921F7">
              <w:rPr>
                <w:rFonts w:cs="Arial"/>
                <w:color w:val="auto"/>
              </w:rPr>
              <w:t xml:space="preserve">Active Bystander training. </w:t>
            </w:r>
          </w:p>
          <w:p w14:paraId="0A0BADF7" w14:textId="204231A6" w:rsidR="006D1758" w:rsidRPr="002921F7" w:rsidRDefault="006D1758" w:rsidP="00210242">
            <w:pPr>
              <w:pStyle w:val="ListParagraph"/>
              <w:numPr>
                <w:ilvl w:val="1"/>
                <w:numId w:val="11"/>
              </w:numPr>
              <w:spacing w:line="259" w:lineRule="auto"/>
              <w:rPr>
                <w:rFonts w:cs="Arial"/>
                <w:color w:val="auto"/>
              </w:rPr>
            </w:pPr>
            <w:r w:rsidRPr="002921F7">
              <w:rPr>
                <w:rFonts w:cs="Arial"/>
                <w:color w:val="auto"/>
              </w:rPr>
              <w:t>Freedom to Speak Up Champions Training.</w:t>
            </w:r>
          </w:p>
          <w:p w14:paraId="3FADC041" w14:textId="00A8E655" w:rsidR="002F7616" w:rsidRPr="002F7616" w:rsidRDefault="002F7616" w:rsidP="002F7616">
            <w:pPr>
              <w:spacing w:line="259" w:lineRule="auto"/>
              <w:rPr>
                <w:rFonts w:cs="Arial"/>
              </w:rPr>
            </w:pPr>
          </w:p>
          <w:p w14:paraId="0E69353A" w14:textId="5429D57C" w:rsidR="0079661D" w:rsidRPr="005A0E31" w:rsidRDefault="0079661D" w:rsidP="0079661D">
            <w:pPr>
              <w:spacing w:line="259" w:lineRule="auto"/>
              <w:rPr>
                <w:rFonts w:cs="Arial"/>
                <w:i/>
                <w:iCs/>
              </w:rPr>
            </w:pPr>
          </w:p>
        </w:tc>
        <w:tc>
          <w:tcPr>
            <w:tcW w:w="1134" w:type="dxa"/>
          </w:tcPr>
          <w:p w14:paraId="752BB2E1" w14:textId="2DEE186E" w:rsidR="00BB480F" w:rsidRPr="009D1CC6" w:rsidRDefault="002921F7" w:rsidP="002921F7">
            <w:pPr>
              <w:spacing w:line="259" w:lineRule="auto"/>
              <w:jc w:val="center"/>
              <w:rPr>
                <w:rFonts w:cs="Arial"/>
              </w:rPr>
            </w:pPr>
            <w:r>
              <w:rPr>
                <w:rFonts w:cs="Arial"/>
              </w:rPr>
              <w:lastRenderedPageBreak/>
              <w:t>2</w:t>
            </w:r>
          </w:p>
        </w:tc>
        <w:tc>
          <w:tcPr>
            <w:tcW w:w="2471" w:type="dxa"/>
          </w:tcPr>
          <w:p w14:paraId="287A6683" w14:textId="77777777" w:rsidR="00BB480F" w:rsidRPr="009D1CC6" w:rsidRDefault="00BB480F" w:rsidP="002D0893">
            <w:pPr>
              <w:spacing w:line="259" w:lineRule="auto"/>
              <w:rPr>
                <w:rFonts w:cs="Arial"/>
              </w:rPr>
            </w:pPr>
          </w:p>
        </w:tc>
      </w:tr>
      <w:tr w:rsidR="00BB480F" w:rsidRPr="009D1CC6" w14:paraId="164E6232" w14:textId="77777777" w:rsidTr="00431145">
        <w:tc>
          <w:tcPr>
            <w:tcW w:w="10343" w:type="dxa"/>
            <w:gridSpan w:val="3"/>
            <w:shd w:val="clear" w:color="auto" w:fill="BDDEFF" w:themeFill="accent1" w:themeFillTint="33"/>
          </w:tcPr>
          <w:p w14:paraId="06D09B6E" w14:textId="77777777" w:rsidR="00BB480F" w:rsidRPr="009D1CC6" w:rsidRDefault="00BB480F" w:rsidP="00E33027">
            <w:pPr>
              <w:rPr>
                <w:rFonts w:cs="Arial"/>
                <w:b/>
              </w:rPr>
            </w:pPr>
            <w:r w:rsidRPr="009D1CC6">
              <w:rPr>
                <w:rFonts w:cs="Arial"/>
                <w:b/>
              </w:rPr>
              <w:lastRenderedPageBreak/>
              <w:t>Domain 3: Inclusive leadership overall rating</w:t>
            </w:r>
          </w:p>
        </w:tc>
        <w:tc>
          <w:tcPr>
            <w:tcW w:w="1134" w:type="dxa"/>
          </w:tcPr>
          <w:p w14:paraId="0BE789D4" w14:textId="0F2B629E" w:rsidR="00BB480F" w:rsidRPr="009D1CC6" w:rsidRDefault="005A0E31" w:rsidP="005A0E31">
            <w:pPr>
              <w:spacing w:after="160" w:line="259" w:lineRule="auto"/>
              <w:jc w:val="center"/>
              <w:rPr>
                <w:rFonts w:cs="Arial"/>
              </w:rPr>
            </w:pPr>
            <w:r>
              <w:rPr>
                <w:rFonts w:cs="Arial"/>
              </w:rPr>
              <w:t>6</w:t>
            </w:r>
          </w:p>
        </w:tc>
        <w:tc>
          <w:tcPr>
            <w:tcW w:w="2471" w:type="dxa"/>
            <w:shd w:val="clear" w:color="auto" w:fill="BDDEFF" w:themeFill="accent1" w:themeFillTint="33"/>
          </w:tcPr>
          <w:p w14:paraId="4C9F4CB4" w14:textId="2D473379" w:rsidR="00BB480F" w:rsidRPr="009D1CC6" w:rsidRDefault="00BB480F" w:rsidP="00E33027">
            <w:pPr>
              <w:spacing w:after="160" w:line="259" w:lineRule="auto"/>
              <w:rPr>
                <w:rFonts w:cs="Arial"/>
              </w:rPr>
            </w:pPr>
          </w:p>
        </w:tc>
      </w:tr>
    </w:tbl>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5665"/>
        <w:gridCol w:w="7933"/>
      </w:tblGrid>
      <w:tr w:rsidR="00E5600B" w:rsidRPr="005739D0" w14:paraId="069F7D8C" w14:textId="77777777" w:rsidTr="00E33027">
        <w:tc>
          <w:tcPr>
            <w:tcW w:w="13598" w:type="dxa"/>
            <w:gridSpan w:val="2"/>
            <w:shd w:val="clear" w:color="auto" w:fill="BDDEFF" w:themeFill="accent1" w:themeFillTint="33"/>
            <w:vAlign w:val="center"/>
          </w:tcPr>
          <w:p w14:paraId="36DE3B8E" w14:textId="2D6646C5" w:rsidR="00E5600B" w:rsidRPr="002D0893" w:rsidRDefault="002D0893" w:rsidP="00E33027">
            <w:pPr>
              <w:jc w:val="center"/>
              <w:rPr>
                <w:rFonts w:cs="Arial"/>
                <w:b/>
              </w:rPr>
            </w:pPr>
            <w:r w:rsidRPr="002D0893">
              <w:rPr>
                <w:rFonts w:cs="Arial"/>
                <w:b/>
              </w:rPr>
              <w:t xml:space="preserve">Third-party involvement in </w:t>
            </w:r>
            <w:r w:rsidR="00E5600B" w:rsidRPr="002D0893">
              <w:rPr>
                <w:rFonts w:cs="Arial"/>
                <w:b/>
              </w:rPr>
              <w:t>Domain 3 rating and review</w:t>
            </w:r>
          </w:p>
        </w:tc>
      </w:tr>
      <w:tr w:rsidR="00E5600B" w:rsidRPr="005739D0" w14:paraId="6AAA70B9" w14:textId="77777777" w:rsidTr="00E33027">
        <w:tc>
          <w:tcPr>
            <w:tcW w:w="5665" w:type="dxa"/>
            <w:shd w:val="clear" w:color="auto" w:fill="BDDEFF" w:themeFill="accent1" w:themeFillTint="33"/>
          </w:tcPr>
          <w:p w14:paraId="2FA017DC" w14:textId="77777777" w:rsidR="00E5600B" w:rsidRDefault="00E5600B" w:rsidP="00E33027">
            <w:pPr>
              <w:rPr>
                <w:rFonts w:cs="Arial"/>
                <w:b/>
              </w:rPr>
            </w:pPr>
            <w:r w:rsidRPr="002D0893">
              <w:rPr>
                <w:rFonts w:cs="Arial"/>
                <w:b/>
              </w:rPr>
              <w:t>Trade Union Rep(s):</w:t>
            </w:r>
          </w:p>
          <w:p w14:paraId="3D0ECD7D" w14:textId="77777777" w:rsidR="00033C32" w:rsidRDefault="00033C32" w:rsidP="00E33027">
            <w:pPr>
              <w:rPr>
                <w:rFonts w:cs="Arial"/>
                <w:b/>
              </w:rPr>
            </w:pPr>
          </w:p>
          <w:p w14:paraId="04598E20" w14:textId="4C0F9413" w:rsidR="00033C32" w:rsidRPr="00033C32" w:rsidRDefault="00033C32" w:rsidP="00E33027">
            <w:pPr>
              <w:rPr>
                <w:rFonts w:cs="Arial"/>
                <w:bCs/>
              </w:rPr>
            </w:pPr>
            <w:r w:rsidRPr="00033C32">
              <w:rPr>
                <w:rFonts w:cs="Arial"/>
                <w:bCs/>
              </w:rPr>
              <w:t>Alex Moss, Staff Side Chair</w:t>
            </w:r>
          </w:p>
          <w:p w14:paraId="2BC02F03" w14:textId="77777777" w:rsidR="00E5600B" w:rsidRPr="005739D0" w:rsidRDefault="00E5600B" w:rsidP="002D0893"/>
          <w:p w14:paraId="06D842A3" w14:textId="77777777" w:rsidR="00E5600B" w:rsidRPr="005739D0" w:rsidRDefault="00E5600B" w:rsidP="00E33027">
            <w:pPr>
              <w:rPr>
                <w:rFonts w:cs="Arial"/>
                <w:sz w:val="28"/>
                <w:szCs w:val="28"/>
              </w:rPr>
            </w:pPr>
          </w:p>
        </w:tc>
        <w:tc>
          <w:tcPr>
            <w:tcW w:w="7933" w:type="dxa"/>
            <w:shd w:val="clear" w:color="auto" w:fill="BDDEFF" w:themeFill="accent1" w:themeFillTint="33"/>
          </w:tcPr>
          <w:p w14:paraId="318111B3" w14:textId="77777777" w:rsidR="00E5600B" w:rsidRPr="002D0893" w:rsidRDefault="00E5600B" w:rsidP="00E33027">
            <w:pPr>
              <w:rPr>
                <w:rFonts w:cs="Arial"/>
                <w:b/>
              </w:rPr>
            </w:pPr>
            <w:bookmarkStart w:id="5" w:name="_Toc43808933"/>
            <w:r w:rsidRPr="002D0893">
              <w:rPr>
                <w:rFonts w:cs="Arial"/>
                <w:b/>
              </w:rPr>
              <w:t>Independent Evaluator(s)/Peer Reviewer(s</w:t>
            </w:r>
            <w:bookmarkEnd w:id="5"/>
            <w:r w:rsidRPr="002D0893">
              <w:rPr>
                <w:rFonts w:cs="Arial"/>
                <w:b/>
              </w:rPr>
              <w:t>):</w:t>
            </w:r>
          </w:p>
          <w:p w14:paraId="3F90D97E" w14:textId="77777777" w:rsidR="00E5600B" w:rsidRPr="005739D0" w:rsidRDefault="00E5600B" w:rsidP="002D0893"/>
          <w:p w14:paraId="10C26893" w14:textId="77777777" w:rsidR="00033C32" w:rsidRDefault="00033C32" w:rsidP="00033C32">
            <w:pPr>
              <w:pStyle w:val="TableText"/>
            </w:pPr>
            <w:r>
              <w:t>Cheshire Wirral Partnership NHS Foundation Trust</w:t>
            </w:r>
          </w:p>
          <w:p w14:paraId="0D329A42" w14:textId="77777777" w:rsidR="00033C32" w:rsidRPr="00CD10E4" w:rsidRDefault="00033C32" w:rsidP="00033C32">
            <w:r w:rsidRPr="00CD10E4">
              <w:t>Wirral Community Health and Care NHS Foundation Trust &amp; Wirral University Teaching Hospital NHS Foundation Trust</w:t>
            </w:r>
          </w:p>
          <w:p w14:paraId="32F48BF8" w14:textId="4D0D5E89" w:rsidR="00E5600B" w:rsidRPr="005739D0" w:rsidRDefault="00E5600B" w:rsidP="00E33027">
            <w:pPr>
              <w:rPr>
                <w:rFonts w:cs="Arial"/>
                <w:sz w:val="28"/>
                <w:szCs w:val="28"/>
              </w:rPr>
            </w:pPr>
          </w:p>
        </w:tc>
      </w:tr>
    </w:tbl>
    <w:p w14:paraId="5819D29B" w14:textId="77777777" w:rsidR="00BB480F" w:rsidRPr="009D1CC6" w:rsidRDefault="00BB480F" w:rsidP="00BB480F">
      <w:pPr>
        <w:rPr>
          <w:rFonts w:cs="Arial"/>
        </w:rPr>
      </w:pPr>
    </w:p>
    <w:p w14:paraId="71B17838" w14:textId="77777777" w:rsidR="00BB480F" w:rsidRPr="009D1CC6" w:rsidRDefault="00BB480F" w:rsidP="00B0463F">
      <w:pPr>
        <w:rPr>
          <w:rFonts w:cs="Arial"/>
        </w:rPr>
      </w:pPr>
      <w:r w:rsidRPr="009D1CC6">
        <w:rPr>
          <w:rFonts w:cs="Arial"/>
        </w:rPr>
        <w:br w:type="page"/>
      </w:r>
      <w:r w:rsidRPr="009D1CC6">
        <w:rPr>
          <w:rFonts w:cs="Arial"/>
        </w:rPr>
        <w:lastRenderedPageBreak/>
        <w:t xml:space="preserve"> </w:t>
      </w: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BB480F" w:rsidRPr="009D1CC6" w14:paraId="15F50E11" w14:textId="77777777" w:rsidTr="002A7AA2">
        <w:tc>
          <w:tcPr>
            <w:tcW w:w="13598" w:type="dxa"/>
            <w:shd w:val="clear" w:color="auto" w:fill="BDDEFF" w:themeFill="accent1" w:themeFillTint="33"/>
          </w:tcPr>
          <w:p w14:paraId="405DFC79" w14:textId="22A5FC98" w:rsidR="00BB480F" w:rsidRPr="009C5580" w:rsidRDefault="00BB480F" w:rsidP="00E33027">
            <w:pPr>
              <w:rPr>
                <w:rFonts w:cs="Arial"/>
                <w:bCs/>
                <w:sz w:val="36"/>
                <w:szCs w:val="36"/>
              </w:rPr>
            </w:pPr>
            <w:r w:rsidRPr="009C5580">
              <w:rPr>
                <w:rFonts w:cs="Arial"/>
                <w:bCs/>
                <w:sz w:val="36"/>
                <w:szCs w:val="36"/>
              </w:rPr>
              <w:t>EDS Organisation Rating (overall rating):</w:t>
            </w:r>
            <w:r w:rsidR="002170A1">
              <w:rPr>
                <w:rFonts w:cs="Arial"/>
                <w:bCs/>
                <w:sz w:val="36"/>
                <w:szCs w:val="36"/>
              </w:rPr>
              <w:t xml:space="preserve"> 21 (Developing)</w:t>
            </w:r>
          </w:p>
          <w:p w14:paraId="70AB78CF" w14:textId="77777777" w:rsidR="00BB480F" w:rsidRPr="002D0893" w:rsidRDefault="00BB480F" w:rsidP="00E33027">
            <w:pPr>
              <w:rPr>
                <w:rFonts w:cs="Arial"/>
                <w:sz w:val="28"/>
                <w:szCs w:val="28"/>
              </w:rPr>
            </w:pPr>
          </w:p>
          <w:p w14:paraId="7D4688A5" w14:textId="77777777" w:rsidR="00BB480F" w:rsidRPr="009D1CC6" w:rsidRDefault="00BB480F" w:rsidP="00E33027">
            <w:pPr>
              <w:rPr>
                <w:rFonts w:cs="Arial"/>
              </w:rPr>
            </w:pPr>
          </w:p>
        </w:tc>
      </w:tr>
      <w:tr w:rsidR="00BB480F" w:rsidRPr="009D1CC6" w14:paraId="1042AAF6" w14:textId="77777777" w:rsidTr="002A7AA2">
        <w:tc>
          <w:tcPr>
            <w:tcW w:w="13598" w:type="dxa"/>
            <w:shd w:val="clear" w:color="auto" w:fill="BDDEFF" w:themeFill="accent1" w:themeFillTint="33"/>
          </w:tcPr>
          <w:p w14:paraId="752959D8" w14:textId="57240F0D" w:rsidR="00BB480F" w:rsidRPr="009C5580" w:rsidRDefault="00BB480F" w:rsidP="00E33027">
            <w:pPr>
              <w:rPr>
                <w:rFonts w:cs="Arial"/>
                <w:bCs/>
                <w:sz w:val="36"/>
                <w:szCs w:val="36"/>
              </w:rPr>
            </w:pPr>
            <w:r w:rsidRPr="009C5580">
              <w:rPr>
                <w:rFonts w:cs="Arial"/>
                <w:bCs/>
                <w:sz w:val="36"/>
                <w:szCs w:val="36"/>
              </w:rPr>
              <w:t xml:space="preserve">Organisation name(s): </w:t>
            </w:r>
            <w:r w:rsidR="008567CD">
              <w:rPr>
                <w:rFonts w:cs="Arial"/>
                <w:bCs/>
                <w:sz w:val="36"/>
                <w:szCs w:val="36"/>
              </w:rPr>
              <w:t>Countess of Chester Hospital NHS Foundation Trust</w:t>
            </w:r>
          </w:p>
          <w:p w14:paraId="4E68B219" w14:textId="77777777" w:rsidR="00BB480F" w:rsidRPr="009C5580" w:rsidRDefault="00BB480F" w:rsidP="00E33027">
            <w:pPr>
              <w:rPr>
                <w:rFonts w:cs="Arial"/>
                <w:bCs/>
                <w:color w:val="FFFFFF" w:themeColor="background1"/>
              </w:rPr>
            </w:pPr>
          </w:p>
          <w:p w14:paraId="21854206" w14:textId="77777777" w:rsidR="00BB480F" w:rsidRPr="009C5580" w:rsidRDefault="00BB480F" w:rsidP="00E33027">
            <w:pPr>
              <w:rPr>
                <w:rFonts w:cs="Arial"/>
                <w:bCs/>
                <w:color w:val="FFFFFF" w:themeColor="background1"/>
              </w:rPr>
            </w:pPr>
          </w:p>
        </w:tc>
      </w:tr>
      <w:tr w:rsidR="00BB480F" w:rsidRPr="009D1CC6" w14:paraId="78E2D1A2" w14:textId="77777777" w:rsidTr="002A7AA2">
        <w:tc>
          <w:tcPr>
            <w:tcW w:w="13598" w:type="dxa"/>
          </w:tcPr>
          <w:p w14:paraId="0B81DD8C" w14:textId="77777777" w:rsidR="00BB480F" w:rsidRPr="009D1CC6" w:rsidRDefault="00BB480F" w:rsidP="00E33027">
            <w:pPr>
              <w:rPr>
                <w:rFonts w:cs="Arial"/>
              </w:rPr>
            </w:pPr>
          </w:p>
          <w:p w14:paraId="101CFC82" w14:textId="77777777" w:rsidR="00BB480F" w:rsidRPr="009D1CC6" w:rsidRDefault="00BB480F" w:rsidP="00E3302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14:paraId="430FC6FE" w14:textId="77777777" w:rsidR="00BB480F" w:rsidRPr="009D1CC6" w:rsidRDefault="00BB480F" w:rsidP="00E33027">
            <w:pPr>
              <w:rPr>
                <w:rFonts w:cs="Arial"/>
              </w:rPr>
            </w:pPr>
          </w:p>
          <w:p w14:paraId="4F51C7DA" w14:textId="77777777" w:rsidR="00BB480F" w:rsidRPr="009D1CC6" w:rsidRDefault="00BB480F" w:rsidP="00E33027">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p w14:paraId="0F6CDE46" w14:textId="77777777" w:rsidR="00BB480F" w:rsidRPr="009D1CC6" w:rsidRDefault="00BB480F" w:rsidP="00E33027">
            <w:pPr>
              <w:rPr>
                <w:rFonts w:cs="Arial"/>
              </w:rPr>
            </w:pPr>
          </w:p>
          <w:p w14:paraId="5E97E25E" w14:textId="77777777" w:rsidR="00BB480F" w:rsidRPr="009D1CC6" w:rsidRDefault="00BB480F" w:rsidP="00E33027">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p w14:paraId="03D4202C" w14:textId="77777777" w:rsidR="00BB480F" w:rsidRPr="009D1CC6" w:rsidRDefault="00BB480F" w:rsidP="00E33027">
            <w:pPr>
              <w:rPr>
                <w:rFonts w:cs="Arial"/>
              </w:rPr>
            </w:pPr>
          </w:p>
          <w:p w14:paraId="7BE2DA4C" w14:textId="77777777" w:rsidR="00BB480F" w:rsidRPr="009D1CC6" w:rsidRDefault="00BB480F" w:rsidP="00E33027">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14:paraId="48DD9D28" w14:textId="77777777" w:rsidR="00BB480F" w:rsidRPr="009D1CC6" w:rsidRDefault="00BB480F" w:rsidP="00E33027">
            <w:pPr>
              <w:rPr>
                <w:rFonts w:cs="Arial"/>
                <w:color w:val="7030A0"/>
              </w:rPr>
            </w:pPr>
          </w:p>
        </w:tc>
      </w:tr>
    </w:tbl>
    <w:p w14:paraId="30912658" w14:textId="77777777" w:rsidR="00BB480F" w:rsidRPr="009D1CC6" w:rsidRDefault="00BB480F" w:rsidP="00BB480F">
      <w:pPr>
        <w:rPr>
          <w:rFonts w:cs="Arial"/>
        </w:rPr>
      </w:pPr>
    </w:p>
    <w:p w14:paraId="4B78C66D" w14:textId="77777777" w:rsidR="00BB480F" w:rsidRPr="009D1CC6" w:rsidRDefault="00BB480F" w:rsidP="00BB480F">
      <w:pPr>
        <w:rPr>
          <w:rFonts w:cs="Arial"/>
        </w:rPr>
      </w:pPr>
      <w:r w:rsidRPr="009D1CC6">
        <w:rPr>
          <w:rFonts w:cs="Arial"/>
        </w:rPr>
        <w:br w:type="page"/>
      </w:r>
    </w:p>
    <w:p w14:paraId="73610FDF" w14:textId="77777777" w:rsidR="00BB480F" w:rsidRPr="00376093" w:rsidRDefault="00BB480F" w:rsidP="00376093">
      <w:pPr>
        <w:shd w:val="clear" w:color="auto" w:fill="BDDEFF" w:themeFill="text2" w:themeFillTint="33"/>
        <w:rPr>
          <w:rFonts w:cs="Arial"/>
          <w:color w:val="auto"/>
        </w:rPr>
      </w:pPr>
    </w:p>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6794"/>
        <w:gridCol w:w="6802"/>
      </w:tblGrid>
      <w:tr w:rsidR="00376093" w:rsidRPr="00376093" w14:paraId="4E977BAD" w14:textId="77777777" w:rsidTr="00376093">
        <w:tc>
          <w:tcPr>
            <w:tcW w:w="13948" w:type="dxa"/>
            <w:gridSpan w:val="2"/>
            <w:shd w:val="clear" w:color="auto" w:fill="BDDEFF" w:themeFill="text2" w:themeFillTint="33"/>
            <w:vAlign w:val="center"/>
          </w:tcPr>
          <w:p w14:paraId="6DAADAC4" w14:textId="77777777" w:rsidR="00BB480F" w:rsidRPr="00C93306" w:rsidRDefault="00BB480F" w:rsidP="00C93306">
            <w:pPr>
              <w:shd w:val="clear" w:color="auto" w:fill="BDDEFF" w:themeFill="text2" w:themeFillTint="33"/>
              <w:jc w:val="center"/>
              <w:rPr>
                <w:rFonts w:cs="Arial"/>
                <w:b/>
                <w:color w:val="auto"/>
                <w:sz w:val="28"/>
                <w:szCs w:val="28"/>
              </w:rPr>
            </w:pPr>
            <w:r w:rsidRPr="00C93306">
              <w:rPr>
                <w:rFonts w:cs="Arial"/>
                <w:b/>
                <w:color w:val="auto"/>
                <w:sz w:val="28"/>
                <w:szCs w:val="28"/>
              </w:rPr>
              <w:t>EDS Action Plan</w:t>
            </w:r>
          </w:p>
        </w:tc>
      </w:tr>
      <w:tr w:rsidR="00376093" w:rsidRPr="00376093" w14:paraId="3347E1B9" w14:textId="77777777" w:rsidTr="00376093">
        <w:tc>
          <w:tcPr>
            <w:tcW w:w="6974" w:type="dxa"/>
            <w:shd w:val="clear" w:color="auto" w:fill="BDDEFF" w:themeFill="text2" w:themeFillTint="33"/>
            <w:vAlign w:val="center"/>
          </w:tcPr>
          <w:p w14:paraId="24707A09" w14:textId="3BB1E235" w:rsidR="00BB480F" w:rsidRPr="00376093" w:rsidRDefault="00BB480F" w:rsidP="00376093">
            <w:pPr>
              <w:shd w:val="clear" w:color="auto" w:fill="BDDEFF" w:themeFill="text2" w:themeFillTint="33"/>
              <w:spacing w:after="160" w:line="259" w:lineRule="auto"/>
              <w:jc w:val="center"/>
              <w:rPr>
                <w:rFonts w:cs="Arial"/>
                <w:b/>
                <w:color w:val="auto"/>
              </w:rPr>
            </w:pPr>
            <w:r w:rsidRPr="00376093">
              <w:rPr>
                <w:rFonts w:cs="Arial"/>
                <w:b/>
                <w:color w:val="auto"/>
              </w:rPr>
              <w:t>EDS Lead</w:t>
            </w:r>
            <w:r w:rsidR="001A1737">
              <w:rPr>
                <w:rFonts w:cs="Arial"/>
                <w:b/>
                <w:color w:val="auto"/>
              </w:rPr>
              <w:t>s</w:t>
            </w:r>
          </w:p>
        </w:tc>
        <w:tc>
          <w:tcPr>
            <w:tcW w:w="6974" w:type="dxa"/>
            <w:shd w:val="clear" w:color="auto" w:fill="BDDEFF" w:themeFill="text2" w:themeFillTint="33"/>
            <w:vAlign w:val="center"/>
          </w:tcPr>
          <w:p w14:paraId="0A066B1D" w14:textId="77777777" w:rsidR="00BB480F" w:rsidRPr="00376093" w:rsidRDefault="00BB480F" w:rsidP="00376093">
            <w:pPr>
              <w:shd w:val="clear" w:color="auto" w:fill="BDDEFF" w:themeFill="text2" w:themeFillTint="33"/>
              <w:spacing w:after="160" w:line="259" w:lineRule="auto"/>
              <w:jc w:val="center"/>
              <w:rPr>
                <w:rFonts w:cs="Arial"/>
                <w:b/>
                <w:color w:val="auto"/>
              </w:rPr>
            </w:pPr>
            <w:r w:rsidRPr="00376093">
              <w:rPr>
                <w:rFonts w:cs="Arial"/>
                <w:b/>
                <w:color w:val="auto"/>
              </w:rPr>
              <w:t>Year(s) active</w:t>
            </w:r>
          </w:p>
        </w:tc>
      </w:tr>
      <w:tr w:rsidR="00BB480F" w:rsidRPr="009D1CC6" w14:paraId="44B15184" w14:textId="77777777" w:rsidTr="00376093">
        <w:tc>
          <w:tcPr>
            <w:tcW w:w="6974" w:type="dxa"/>
            <w:shd w:val="clear" w:color="auto" w:fill="FFFFFF" w:themeFill="background1"/>
            <w:vAlign w:val="center"/>
          </w:tcPr>
          <w:p w14:paraId="314C09BA" w14:textId="77777777" w:rsidR="00BB480F" w:rsidRDefault="00BB480F" w:rsidP="00C93306">
            <w:pPr>
              <w:pStyle w:val="TableText"/>
            </w:pPr>
          </w:p>
          <w:p w14:paraId="4E705A19" w14:textId="79FC025C" w:rsidR="008567CD" w:rsidRDefault="008567CD" w:rsidP="00C93306">
            <w:pPr>
              <w:pStyle w:val="TableText"/>
            </w:pPr>
            <w:r>
              <w:t>Liz Pritchard – Deputy Chief People Officer</w:t>
            </w:r>
          </w:p>
          <w:p w14:paraId="0BF8B1DD" w14:textId="46F3CC2E" w:rsidR="008567CD" w:rsidRDefault="008567CD" w:rsidP="00C93306">
            <w:pPr>
              <w:pStyle w:val="TableText"/>
            </w:pPr>
            <w:r>
              <w:t xml:space="preserve">Fiona </w:t>
            </w:r>
            <w:proofErr w:type="spellStart"/>
            <w:r>
              <w:t>Altintas</w:t>
            </w:r>
            <w:proofErr w:type="spellEnd"/>
            <w:r>
              <w:t xml:space="preserve"> – Deputy Director of Nursing Quality and Governance</w:t>
            </w:r>
          </w:p>
          <w:p w14:paraId="67AB33CC" w14:textId="77777777" w:rsidR="008567CD" w:rsidRPr="009D1CC6" w:rsidRDefault="008567CD" w:rsidP="00C93306">
            <w:pPr>
              <w:pStyle w:val="TableText"/>
            </w:pPr>
          </w:p>
        </w:tc>
        <w:tc>
          <w:tcPr>
            <w:tcW w:w="6974" w:type="dxa"/>
            <w:shd w:val="clear" w:color="auto" w:fill="FFFFFF" w:themeFill="background1"/>
            <w:vAlign w:val="center"/>
          </w:tcPr>
          <w:p w14:paraId="2DEEFECA" w14:textId="40009E5B" w:rsidR="00BB480F" w:rsidRPr="009D1CC6" w:rsidRDefault="001A1737" w:rsidP="00C93306">
            <w:pPr>
              <w:pStyle w:val="TableText"/>
            </w:pPr>
            <w:r>
              <w:t>1 year (In this trust acting as EDS Lead)</w:t>
            </w:r>
          </w:p>
        </w:tc>
      </w:tr>
      <w:tr w:rsidR="00BB480F" w:rsidRPr="009D1CC6" w14:paraId="7B4D5862" w14:textId="77777777" w:rsidTr="00376093">
        <w:tc>
          <w:tcPr>
            <w:tcW w:w="6974" w:type="dxa"/>
            <w:shd w:val="clear" w:color="auto" w:fill="BDDEFF" w:themeFill="text2" w:themeFillTint="33"/>
            <w:vAlign w:val="center"/>
          </w:tcPr>
          <w:p w14:paraId="61910F64" w14:textId="77777777" w:rsidR="00BB480F" w:rsidRPr="00376093" w:rsidRDefault="00BB480F" w:rsidP="00E33027">
            <w:pPr>
              <w:spacing w:after="160" w:line="259" w:lineRule="auto"/>
              <w:jc w:val="center"/>
              <w:rPr>
                <w:rFonts w:cs="Arial"/>
                <w:b/>
                <w:color w:val="auto"/>
              </w:rPr>
            </w:pPr>
            <w:r w:rsidRPr="00376093">
              <w:rPr>
                <w:rFonts w:cs="Arial"/>
                <w:b/>
                <w:color w:val="auto"/>
              </w:rPr>
              <w:t>EDS Sponsor</w:t>
            </w:r>
          </w:p>
        </w:tc>
        <w:tc>
          <w:tcPr>
            <w:tcW w:w="6974" w:type="dxa"/>
            <w:shd w:val="clear" w:color="auto" w:fill="BDDEFF" w:themeFill="text2" w:themeFillTint="33"/>
            <w:vAlign w:val="center"/>
          </w:tcPr>
          <w:p w14:paraId="15085263" w14:textId="77777777" w:rsidR="00BB480F" w:rsidRPr="00376093" w:rsidRDefault="00BB480F" w:rsidP="00E33027">
            <w:pPr>
              <w:spacing w:after="160" w:line="259" w:lineRule="auto"/>
              <w:jc w:val="center"/>
              <w:rPr>
                <w:rFonts w:cs="Arial"/>
                <w:b/>
                <w:color w:val="auto"/>
              </w:rPr>
            </w:pPr>
            <w:r w:rsidRPr="00376093">
              <w:rPr>
                <w:rFonts w:cs="Arial"/>
                <w:b/>
                <w:color w:val="auto"/>
              </w:rPr>
              <w:t>Authorisation date</w:t>
            </w:r>
          </w:p>
        </w:tc>
      </w:tr>
      <w:tr w:rsidR="00BB480F" w:rsidRPr="009D1CC6" w14:paraId="13AFD231" w14:textId="77777777" w:rsidTr="00376093">
        <w:tc>
          <w:tcPr>
            <w:tcW w:w="6974" w:type="dxa"/>
            <w:shd w:val="clear" w:color="auto" w:fill="FFFFFF" w:themeFill="background1"/>
            <w:vAlign w:val="center"/>
          </w:tcPr>
          <w:p w14:paraId="42173BAF" w14:textId="77777777" w:rsidR="00BB480F" w:rsidRDefault="00BB480F" w:rsidP="00C93306">
            <w:pPr>
              <w:pStyle w:val="TableText"/>
            </w:pPr>
          </w:p>
          <w:p w14:paraId="2C05111E" w14:textId="6D15EF2A" w:rsidR="008567CD" w:rsidRDefault="008567CD" w:rsidP="00C93306">
            <w:pPr>
              <w:pStyle w:val="TableText"/>
            </w:pPr>
            <w:r>
              <w:t>Vicki Wilson, Chief People Officer</w:t>
            </w:r>
          </w:p>
          <w:p w14:paraId="4D4602BA" w14:textId="5AB36B78" w:rsidR="008567CD" w:rsidRDefault="008567CD" w:rsidP="00C93306">
            <w:pPr>
              <w:pStyle w:val="TableText"/>
            </w:pPr>
            <w:r>
              <w:t>Sue Pemberton</w:t>
            </w:r>
            <w:r w:rsidR="004A31D5">
              <w:t>, Director of Nursing and Quality and Deputy Chief Executive</w:t>
            </w:r>
          </w:p>
          <w:p w14:paraId="61449F2F" w14:textId="77777777" w:rsidR="008567CD" w:rsidRPr="009D1CC6" w:rsidRDefault="008567CD" w:rsidP="00C93306">
            <w:pPr>
              <w:pStyle w:val="TableText"/>
            </w:pPr>
          </w:p>
        </w:tc>
        <w:tc>
          <w:tcPr>
            <w:tcW w:w="6974" w:type="dxa"/>
            <w:shd w:val="clear" w:color="auto" w:fill="FFFFFF" w:themeFill="background1"/>
            <w:vAlign w:val="center"/>
          </w:tcPr>
          <w:p w14:paraId="67E1EB61" w14:textId="0DA29C5C" w:rsidR="001A1737" w:rsidRDefault="001A1737" w:rsidP="00C93306">
            <w:pPr>
              <w:pStyle w:val="TableText"/>
            </w:pPr>
            <w:r>
              <w:t>Domain 1 – via Quality Governance Structures – February 26</w:t>
            </w:r>
          </w:p>
          <w:p w14:paraId="209BCA62" w14:textId="6AA570B6" w:rsidR="00BB480F" w:rsidRPr="009D1CC6" w:rsidRDefault="001A1737" w:rsidP="00C93306">
            <w:pPr>
              <w:pStyle w:val="TableText"/>
            </w:pPr>
            <w:r>
              <w:t>Domains 2 and 3 via People Committee – 10</w:t>
            </w:r>
            <w:r w:rsidRPr="001A1737">
              <w:rPr>
                <w:vertAlign w:val="superscript"/>
              </w:rPr>
              <w:t>th</w:t>
            </w:r>
            <w:r>
              <w:t xml:space="preserve"> February 26</w:t>
            </w:r>
          </w:p>
        </w:tc>
      </w:tr>
    </w:tbl>
    <w:p w14:paraId="5B1F6B4E" w14:textId="77777777" w:rsidR="00BB480F" w:rsidRPr="009D1CC6" w:rsidRDefault="00BB480F" w:rsidP="00BB480F">
      <w:pPr>
        <w:rPr>
          <w:rFonts w:cs="Arial"/>
        </w:rPr>
      </w:pPr>
    </w:p>
    <w:tbl>
      <w:tblPr>
        <w:tblStyle w:val="TableGrid"/>
        <w:tblW w:w="14312"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3"/>
        <w:gridCol w:w="3168"/>
        <w:gridCol w:w="8575"/>
        <w:gridCol w:w="1446"/>
      </w:tblGrid>
      <w:tr w:rsidR="00C85696" w:rsidRPr="009D1CC6" w14:paraId="42E69976" w14:textId="77777777" w:rsidTr="000B2C8C">
        <w:tc>
          <w:tcPr>
            <w:tcW w:w="1123" w:type="dxa"/>
            <w:shd w:val="clear" w:color="auto" w:fill="BDDEFF" w:themeFill="accent1" w:themeFillTint="33"/>
          </w:tcPr>
          <w:p w14:paraId="5F647071" w14:textId="77777777" w:rsidR="00C85696" w:rsidRPr="009D1CC6" w:rsidRDefault="00C85696" w:rsidP="00E33027">
            <w:pPr>
              <w:rPr>
                <w:rFonts w:cs="Arial"/>
                <w:b/>
              </w:rPr>
            </w:pPr>
            <w:r w:rsidRPr="009D1CC6">
              <w:rPr>
                <w:rFonts w:cs="Arial"/>
                <w:b/>
              </w:rPr>
              <w:t xml:space="preserve">Domain </w:t>
            </w:r>
          </w:p>
        </w:tc>
        <w:tc>
          <w:tcPr>
            <w:tcW w:w="3168" w:type="dxa"/>
            <w:shd w:val="clear" w:color="auto" w:fill="BDDEFF" w:themeFill="accent1" w:themeFillTint="33"/>
          </w:tcPr>
          <w:p w14:paraId="2B3A887A" w14:textId="77777777" w:rsidR="00C85696" w:rsidRPr="009D1CC6" w:rsidRDefault="00C85696" w:rsidP="00E33027">
            <w:pPr>
              <w:rPr>
                <w:rFonts w:cs="Arial"/>
                <w:b/>
              </w:rPr>
            </w:pPr>
            <w:r w:rsidRPr="009D1CC6">
              <w:rPr>
                <w:rFonts w:cs="Arial"/>
                <w:b/>
              </w:rPr>
              <w:t xml:space="preserve">Outcome </w:t>
            </w:r>
          </w:p>
        </w:tc>
        <w:tc>
          <w:tcPr>
            <w:tcW w:w="8575" w:type="dxa"/>
            <w:shd w:val="clear" w:color="auto" w:fill="BDDEFF" w:themeFill="accent1" w:themeFillTint="33"/>
          </w:tcPr>
          <w:p w14:paraId="314FD526" w14:textId="77777777" w:rsidR="00C85696" w:rsidRPr="009D1CC6" w:rsidRDefault="00C85696" w:rsidP="00E33027">
            <w:pPr>
              <w:rPr>
                <w:rFonts w:cs="Arial"/>
                <w:b/>
              </w:rPr>
            </w:pPr>
            <w:r w:rsidRPr="009D1CC6">
              <w:rPr>
                <w:rFonts w:cs="Arial"/>
                <w:b/>
              </w:rPr>
              <w:t>Action</w:t>
            </w:r>
          </w:p>
        </w:tc>
        <w:tc>
          <w:tcPr>
            <w:tcW w:w="1446" w:type="dxa"/>
            <w:shd w:val="clear" w:color="auto" w:fill="BDDEFF" w:themeFill="accent1" w:themeFillTint="33"/>
          </w:tcPr>
          <w:p w14:paraId="5EB0E24D" w14:textId="77777777" w:rsidR="00C85696" w:rsidRPr="009D1CC6" w:rsidRDefault="00C85696" w:rsidP="00E33027">
            <w:pPr>
              <w:rPr>
                <w:rFonts w:cs="Arial"/>
                <w:b/>
              </w:rPr>
            </w:pPr>
            <w:r w:rsidRPr="009D1CC6">
              <w:rPr>
                <w:rFonts w:cs="Arial"/>
                <w:b/>
              </w:rPr>
              <w:t>Completion date</w:t>
            </w:r>
          </w:p>
        </w:tc>
      </w:tr>
      <w:tr w:rsidR="00C85696" w:rsidRPr="009D1CC6" w14:paraId="6143F017" w14:textId="77777777" w:rsidTr="000B2C8C">
        <w:trPr>
          <w:cantSplit/>
          <w:trHeight w:val="1020"/>
        </w:trPr>
        <w:tc>
          <w:tcPr>
            <w:tcW w:w="1123" w:type="dxa"/>
            <w:vMerge w:val="restart"/>
            <w:shd w:val="clear" w:color="auto" w:fill="BDDEFF" w:themeFill="accent1" w:themeFillTint="33"/>
            <w:textDirection w:val="btLr"/>
            <w:vAlign w:val="center"/>
          </w:tcPr>
          <w:p w14:paraId="239A1684" w14:textId="77777777" w:rsidR="00C85696" w:rsidRPr="009D1CC6" w:rsidRDefault="00C85696" w:rsidP="00E33027">
            <w:pPr>
              <w:ind w:left="113" w:right="113"/>
              <w:jc w:val="center"/>
              <w:rPr>
                <w:rFonts w:cs="Arial"/>
              </w:rPr>
            </w:pPr>
            <w:r w:rsidRPr="009D1CC6">
              <w:rPr>
                <w:rFonts w:cs="Arial"/>
                <w:b/>
              </w:rPr>
              <w:t>Domain 1: Commissioned or provided services</w:t>
            </w:r>
          </w:p>
          <w:p w14:paraId="695E86D7" w14:textId="77777777" w:rsidR="00C85696" w:rsidRPr="009D1CC6" w:rsidRDefault="00C85696" w:rsidP="00E33027">
            <w:pPr>
              <w:ind w:left="113" w:right="113"/>
              <w:jc w:val="center"/>
              <w:rPr>
                <w:rFonts w:cs="Arial"/>
              </w:rPr>
            </w:pPr>
          </w:p>
        </w:tc>
        <w:tc>
          <w:tcPr>
            <w:tcW w:w="3168" w:type="dxa"/>
            <w:shd w:val="clear" w:color="auto" w:fill="BDDEFF" w:themeFill="accent1" w:themeFillTint="33"/>
          </w:tcPr>
          <w:p w14:paraId="6A67CB7B" w14:textId="005DC873" w:rsidR="00C85696" w:rsidRPr="009D1CC6" w:rsidRDefault="00C85696" w:rsidP="00E33027">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8575" w:type="dxa"/>
          </w:tcPr>
          <w:p w14:paraId="4319DE7B" w14:textId="77777777" w:rsidR="00C85696" w:rsidRDefault="00CC7CBD" w:rsidP="00376093">
            <w:pPr>
              <w:pStyle w:val="TableText"/>
            </w:pPr>
            <w:r>
              <w:t xml:space="preserve">To continue to monitor actions within the ED Improvement plan </w:t>
            </w:r>
          </w:p>
          <w:p w14:paraId="24C5D62C" w14:textId="77777777" w:rsidR="00CC7CBD" w:rsidRDefault="00CC7CBD" w:rsidP="00376093">
            <w:pPr>
              <w:pStyle w:val="TableText"/>
            </w:pPr>
            <w:r>
              <w:t>To improve data collection in all areas for patients with protected characteristics</w:t>
            </w:r>
          </w:p>
          <w:p w14:paraId="3FE99F0B" w14:textId="2160294E" w:rsidR="00CC7CBD" w:rsidRPr="009D1CC6" w:rsidRDefault="00CC7CBD" w:rsidP="00CC7CBD">
            <w:pPr>
              <w:pStyle w:val="TableText"/>
            </w:pPr>
          </w:p>
        </w:tc>
        <w:tc>
          <w:tcPr>
            <w:tcW w:w="1446" w:type="dxa"/>
          </w:tcPr>
          <w:p w14:paraId="00874A8F" w14:textId="549A2071" w:rsidR="00C85696" w:rsidRPr="009D1CC6" w:rsidRDefault="00CC7CBD" w:rsidP="00376093">
            <w:pPr>
              <w:pStyle w:val="TableText"/>
            </w:pPr>
            <w:r>
              <w:t>September 2026</w:t>
            </w:r>
          </w:p>
        </w:tc>
      </w:tr>
      <w:tr w:rsidR="00C85696" w:rsidRPr="009D1CC6" w14:paraId="6B614755" w14:textId="77777777" w:rsidTr="000B2C8C">
        <w:trPr>
          <w:cantSplit/>
          <w:trHeight w:val="1020"/>
        </w:trPr>
        <w:tc>
          <w:tcPr>
            <w:tcW w:w="1123" w:type="dxa"/>
            <w:vMerge/>
            <w:shd w:val="clear" w:color="auto" w:fill="BDDEFF" w:themeFill="accent1" w:themeFillTint="33"/>
          </w:tcPr>
          <w:p w14:paraId="065E9FA4" w14:textId="77777777" w:rsidR="00C85696" w:rsidRPr="009D1CC6" w:rsidRDefault="00C85696" w:rsidP="00E33027">
            <w:pPr>
              <w:rPr>
                <w:rFonts w:cs="Arial"/>
              </w:rPr>
            </w:pPr>
          </w:p>
        </w:tc>
        <w:tc>
          <w:tcPr>
            <w:tcW w:w="3168" w:type="dxa"/>
            <w:shd w:val="clear" w:color="auto" w:fill="BDDEFF" w:themeFill="accent1" w:themeFillTint="33"/>
          </w:tcPr>
          <w:p w14:paraId="771F0A20" w14:textId="77777777" w:rsidR="00C85696" w:rsidRPr="009D1CC6" w:rsidRDefault="00C85696" w:rsidP="00E33027">
            <w:pPr>
              <w:rPr>
                <w:rFonts w:cs="Arial"/>
              </w:rPr>
            </w:pPr>
            <w:r w:rsidRPr="009D1CC6">
              <w:rPr>
                <w:rFonts w:cs="Arial"/>
              </w:rPr>
              <w:t>1B: Individual patients (service users) health needs are met</w:t>
            </w:r>
          </w:p>
        </w:tc>
        <w:tc>
          <w:tcPr>
            <w:tcW w:w="8575" w:type="dxa"/>
          </w:tcPr>
          <w:p w14:paraId="7C5831D4" w14:textId="0ADA7AF3" w:rsidR="00CC7CBD" w:rsidRPr="009D1CC6" w:rsidRDefault="00CC7CBD" w:rsidP="00376093">
            <w:pPr>
              <w:pStyle w:val="TableText"/>
            </w:pPr>
            <w:r w:rsidRPr="00CC7CBD">
              <w:t>To improve the mealtime provision for those patients with protected characteristics and to monitor mealtime audits</w:t>
            </w:r>
          </w:p>
        </w:tc>
        <w:tc>
          <w:tcPr>
            <w:tcW w:w="1446" w:type="dxa"/>
          </w:tcPr>
          <w:p w14:paraId="5E7C8E05" w14:textId="28C5DE78" w:rsidR="00C85696" w:rsidRPr="009D1CC6" w:rsidRDefault="00CC7CBD" w:rsidP="00376093">
            <w:pPr>
              <w:pStyle w:val="TableText"/>
            </w:pPr>
            <w:r w:rsidRPr="00CC7CBD">
              <w:t>September 2026</w:t>
            </w:r>
          </w:p>
        </w:tc>
      </w:tr>
      <w:tr w:rsidR="00C85696" w:rsidRPr="009D1CC6" w14:paraId="3C300F33" w14:textId="77777777" w:rsidTr="000B2C8C">
        <w:trPr>
          <w:cantSplit/>
          <w:trHeight w:val="1020"/>
        </w:trPr>
        <w:tc>
          <w:tcPr>
            <w:tcW w:w="1123" w:type="dxa"/>
            <w:vMerge/>
            <w:shd w:val="clear" w:color="auto" w:fill="BDDEFF" w:themeFill="accent1" w:themeFillTint="33"/>
          </w:tcPr>
          <w:p w14:paraId="0DFA68D7" w14:textId="77777777" w:rsidR="00C85696" w:rsidRPr="009D1CC6" w:rsidRDefault="00C85696" w:rsidP="00E33027">
            <w:pPr>
              <w:rPr>
                <w:rFonts w:cs="Arial"/>
              </w:rPr>
            </w:pPr>
          </w:p>
        </w:tc>
        <w:tc>
          <w:tcPr>
            <w:tcW w:w="3168" w:type="dxa"/>
            <w:shd w:val="clear" w:color="auto" w:fill="BDDEFF" w:themeFill="accent1" w:themeFillTint="33"/>
          </w:tcPr>
          <w:p w14:paraId="5A94B561" w14:textId="77777777" w:rsidR="00C85696" w:rsidRPr="009D1CC6" w:rsidRDefault="00C85696" w:rsidP="00E33027">
            <w:pPr>
              <w:rPr>
                <w:rFonts w:cs="Arial"/>
              </w:rPr>
            </w:pPr>
            <w:r w:rsidRPr="009D1CC6">
              <w:rPr>
                <w:rFonts w:cs="Arial"/>
              </w:rPr>
              <w:t>1C: When patients (service users) use the service, they are free from harm</w:t>
            </w:r>
          </w:p>
        </w:tc>
        <w:tc>
          <w:tcPr>
            <w:tcW w:w="8575" w:type="dxa"/>
          </w:tcPr>
          <w:p w14:paraId="78EF7B3C" w14:textId="5158B5D8" w:rsidR="00C85696" w:rsidRPr="009D1CC6" w:rsidRDefault="00CC7CBD" w:rsidP="00376093">
            <w:pPr>
              <w:pStyle w:val="TableText"/>
            </w:pPr>
            <w:r>
              <w:t xml:space="preserve">To identify trends and themes from patient safety incidents/complaints and concerns and feedback for those patients with protected characteristics and identify learning and subsequent actions </w:t>
            </w:r>
          </w:p>
        </w:tc>
        <w:tc>
          <w:tcPr>
            <w:tcW w:w="1446" w:type="dxa"/>
          </w:tcPr>
          <w:p w14:paraId="1657AA61" w14:textId="467B835B" w:rsidR="00C85696" w:rsidRPr="009D1CC6" w:rsidRDefault="00CC7CBD" w:rsidP="00376093">
            <w:pPr>
              <w:pStyle w:val="TableText"/>
            </w:pPr>
            <w:r w:rsidRPr="00CC7CBD">
              <w:t>September 2026</w:t>
            </w:r>
          </w:p>
        </w:tc>
      </w:tr>
      <w:tr w:rsidR="00C85696" w:rsidRPr="009D1CC6" w14:paraId="7A5FBA18" w14:textId="77777777" w:rsidTr="000B2C8C">
        <w:trPr>
          <w:cantSplit/>
          <w:trHeight w:val="1020"/>
        </w:trPr>
        <w:tc>
          <w:tcPr>
            <w:tcW w:w="1123" w:type="dxa"/>
            <w:vMerge/>
            <w:shd w:val="clear" w:color="auto" w:fill="BDDEFF" w:themeFill="accent1" w:themeFillTint="33"/>
          </w:tcPr>
          <w:p w14:paraId="1AC3E7B4" w14:textId="77777777" w:rsidR="00C85696" w:rsidRPr="009D1CC6" w:rsidRDefault="00C85696" w:rsidP="00E33027">
            <w:pPr>
              <w:rPr>
                <w:rFonts w:cs="Arial"/>
              </w:rPr>
            </w:pPr>
          </w:p>
        </w:tc>
        <w:tc>
          <w:tcPr>
            <w:tcW w:w="3168" w:type="dxa"/>
            <w:shd w:val="clear" w:color="auto" w:fill="BDDEFF" w:themeFill="accent1" w:themeFillTint="33"/>
          </w:tcPr>
          <w:p w14:paraId="689CA580" w14:textId="77777777" w:rsidR="00C85696" w:rsidRPr="009D1CC6" w:rsidRDefault="00C85696" w:rsidP="00E33027">
            <w:pPr>
              <w:rPr>
                <w:rFonts w:cs="Arial"/>
              </w:rPr>
            </w:pPr>
            <w:r w:rsidRPr="009D1CC6">
              <w:rPr>
                <w:rFonts w:cs="Arial"/>
              </w:rPr>
              <w:t>1D: Patients (service users) report positive experiences of the service</w:t>
            </w:r>
          </w:p>
        </w:tc>
        <w:tc>
          <w:tcPr>
            <w:tcW w:w="8575" w:type="dxa"/>
          </w:tcPr>
          <w:p w14:paraId="00292D10" w14:textId="77777777" w:rsidR="00C85696" w:rsidRDefault="00CC7CBD" w:rsidP="00376093">
            <w:pPr>
              <w:pStyle w:val="TableText"/>
            </w:pPr>
            <w:r w:rsidRPr="00CC7CBD">
              <w:t>To launch the Patient Experience Engagement Framework</w:t>
            </w:r>
          </w:p>
          <w:p w14:paraId="237531CD" w14:textId="77777777" w:rsidR="00CC7CBD" w:rsidRDefault="00CC7CBD" w:rsidP="00376093">
            <w:pPr>
              <w:pStyle w:val="TableText"/>
            </w:pPr>
            <w:r>
              <w:t>To launch new Friends and Family service provision</w:t>
            </w:r>
          </w:p>
          <w:p w14:paraId="1F97F848" w14:textId="5FB572C1" w:rsidR="00CC7CBD" w:rsidRPr="009D1CC6" w:rsidRDefault="00CC7CBD" w:rsidP="00376093">
            <w:pPr>
              <w:pStyle w:val="TableText"/>
            </w:pPr>
            <w:r>
              <w:t xml:space="preserve">To include EDI data in ward accreditation </w:t>
            </w:r>
          </w:p>
        </w:tc>
        <w:tc>
          <w:tcPr>
            <w:tcW w:w="1446" w:type="dxa"/>
          </w:tcPr>
          <w:p w14:paraId="241CA7D7" w14:textId="4ED04978" w:rsidR="00C85696" w:rsidRPr="009D1CC6" w:rsidRDefault="00CC7CBD" w:rsidP="00376093">
            <w:pPr>
              <w:pStyle w:val="TableText"/>
            </w:pPr>
            <w:r>
              <w:t>May 2026</w:t>
            </w:r>
          </w:p>
        </w:tc>
      </w:tr>
    </w:tbl>
    <w:p w14:paraId="6D98D909" w14:textId="77777777" w:rsidR="00BB480F" w:rsidRPr="009D1CC6" w:rsidRDefault="00BB480F" w:rsidP="00BB480F">
      <w:r w:rsidRPr="009D1CC6">
        <w:br w:type="page"/>
      </w:r>
    </w:p>
    <w:p w14:paraId="1BCB14A0" w14:textId="77777777" w:rsidR="00BB480F" w:rsidRPr="009D1CC6" w:rsidRDefault="00BB480F" w:rsidP="00BB480F"/>
    <w:p w14:paraId="58E2F665" w14:textId="77777777" w:rsidR="00BB480F" w:rsidRPr="009D1CC6" w:rsidRDefault="00BB480F" w:rsidP="00BB480F"/>
    <w:tbl>
      <w:tblPr>
        <w:tblStyle w:val="TableGrid"/>
        <w:tblW w:w="14454"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19"/>
        <w:gridCol w:w="3111"/>
        <w:gridCol w:w="8780"/>
        <w:gridCol w:w="1444"/>
      </w:tblGrid>
      <w:tr w:rsidR="00C85696" w:rsidRPr="009D1CC6" w14:paraId="43EDE67E" w14:textId="77777777" w:rsidTr="00D97BD7">
        <w:tc>
          <w:tcPr>
            <w:tcW w:w="1119" w:type="dxa"/>
            <w:shd w:val="clear" w:color="auto" w:fill="D9F0FA" w:themeFill="accent4" w:themeFillTint="33"/>
          </w:tcPr>
          <w:p w14:paraId="16136A58" w14:textId="77777777" w:rsidR="00C85696" w:rsidRPr="009D1CC6" w:rsidRDefault="00C85696" w:rsidP="00E33027">
            <w:pPr>
              <w:rPr>
                <w:rFonts w:cs="Arial"/>
                <w:b/>
              </w:rPr>
            </w:pPr>
            <w:r w:rsidRPr="009D1CC6">
              <w:rPr>
                <w:rFonts w:cs="Arial"/>
                <w:b/>
              </w:rPr>
              <w:t xml:space="preserve">Domain </w:t>
            </w:r>
          </w:p>
        </w:tc>
        <w:tc>
          <w:tcPr>
            <w:tcW w:w="3111" w:type="dxa"/>
            <w:shd w:val="clear" w:color="auto" w:fill="D9F0FA" w:themeFill="accent4" w:themeFillTint="33"/>
          </w:tcPr>
          <w:p w14:paraId="01E369CB" w14:textId="77777777" w:rsidR="00C85696" w:rsidRPr="009D1CC6" w:rsidRDefault="00C85696" w:rsidP="00E33027">
            <w:pPr>
              <w:rPr>
                <w:rFonts w:cs="Arial"/>
                <w:b/>
              </w:rPr>
            </w:pPr>
            <w:r w:rsidRPr="009D1CC6">
              <w:rPr>
                <w:rFonts w:cs="Arial"/>
                <w:b/>
              </w:rPr>
              <w:t xml:space="preserve">Outcome </w:t>
            </w:r>
          </w:p>
        </w:tc>
        <w:tc>
          <w:tcPr>
            <w:tcW w:w="8780" w:type="dxa"/>
            <w:shd w:val="clear" w:color="auto" w:fill="D9F0FA" w:themeFill="accent4" w:themeFillTint="33"/>
          </w:tcPr>
          <w:p w14:paraId="19465B0C" w14:textId="77777777" w:rsidR="00C85696" w:rsidRPr="009D1CC6" w:rsidRDefault="00C85696" w:rsidP="00E33027">
            <w:pPr>
              <w:rPr>
                <w:rFonts w:cs="Arial"/>
                <w:b/>
              </w:rPr>
            </w:pPr>
            <w:r w:rsidRPr="009D1CC6">
              <w:rPr>
                <w:rFonts w:cs="Arial"/>
                <w:b/>
              </w:rPr>
              <w:t>Action</w:t>
            </w:r>
          </w:p>
        </w:tc>
        <w:tc>
          <w:tcPr>
            <w:tcW w:w="1444" w:type="dxa"/>
            <w:shd w:val="clear" w:color="auto" w:fill="D9F0FA" w:themeFill="accent4" w:themeFillTint="33"/>
          </w:tcPr>
          <w:p w14:paraId="3B1F8995" w14:textId="77777777" w:rsidR="00C85696" w:rsidRPr="009D1CC6" w:rsidRDefault="00C85696" w:rsidP="00E33027">
            <w:pPr>
              <w:rPr>
                <w:rFonts w:cs="Arial"/>
                <w:b/>
              </w:rPr>
            </w:pPr>
            <w:r w:rsidRPr="009D1CC6">
              <w:rPr>
                <w:rFonts w:cs="Arial"/>
                <w:b/>
              </w:rPr>
              <w:t>Completion date</w:t>
            </w:r>
          </w:p>
        </w:tc>
      </w:tr>
      <w:tr w:rsidR="00C85696" w:rsidRPr="009D1CC6" w14:paraId="3A480C21" w14:textId="77777777" w:rsidTr="00D97BD7">
        <w:trPr>
          <w:cantSplit/>
          <w:trHeight w:val="1701"/>
        </w:trPr>
        <w:tc>
          <w:tcPr>
            <w:tcW w:w="1119" w:type="dxa"/>
            <w:vMerge w:val="restart"/>
            <w:shd w:val="clear" w:color="auto" w:fill="D9F0FA" w:themeFill="accent4" w:themeFillTint="33"/>
            <w:textDirection w:val="btLr"/>
            <w:vAlign w:val="center"/>
          </w:tcPr>
          <w:p w14:paraId="18B04B57" w14:textId="77777777" w:rsidR="00C85696" w:rsidRPr="009D1CC6" w:rsidRDefault="00C85696" w:rsidP="00E33027">
            <w:pPr>
              <w:jc w:val="center"/>
              <w:rPr>
                <w:rFonts w:cs="Arial"/>
                <w:b/>
              </w:rPr>
            </w:pPr>
            <w:r w:rsidRPr="009D1CC6">
              <w:rPr>
                <w:rFonts w:cs="Arial"/>
                <w:b/>
              </w:rPr>
              <w:t>Domain 2:</w:t>
            </w:r>
          </w:p>
          <w:p w14:paraId="3E46FABC" w14:textId="77777777" w:rsidR="00C85696" w:rsidRPr="009D1CC6" w:rsidRDefault="00C85696" w:rsidP="00E33027">
            <w:pPr>
              <w:jc w:val="center"/>
            </w:pPr>
            <w:r w:rsidRPr="009D1CC6">
              <w:rPr>
                <w:rFonts w:cs="Arial"/>
                <w:b/>
              </w:rPr>
              <w:t>Workforce health and well-being</w:t>
            </w:r>
          </w:p>
        </w:tc>
        <w:tc>
          <w:tcPr>
            <w:tcW w:w="3111" w:type="dxa"/>
            <w:shd w:val="clear" w:color="auto" w:fill="D9F0FA" w:themeFill="accent4" w:themeFillTint="33"/>
          </w:tcPr>
          <w:p w14:paraId="440DC5A1" w14:textId="77777777" w:rsidR="00C85696" w:rsidRPr="009D1CC6" w:rsidRDefault="00C85696" w:rsidP="00E33027">
            <w:pPr>
              <w:rPr>
                <w:rFonts w:cs="Arial"/>
              </w:rPr>
            </w:pPr>
            <w:r w:rsidRPr="009D1CC6">
              <w:rPr>
                <w:rFonts w:cs="Arial"/>
              </w:rPr>
              <w:t>2A: When at work, staff are provided with support to manage obesity, diabetes, asthma, COPD and mental health conditions</w:t>
            </w:r>
          </w:p>
        </w:tc>
        <w:tc>
          <w:tcPr>
            <w:tcW w:w="8780" w:type="dxa"/>
          </w:tcPr>
          <w:p w14:paraId="0871EC5D" w14:textId="21D666E6" w:rsidR="00C85696" w:rsidRPr="009D1CC6" w:rsidRDefault="00C85696" w:rsidP="00F939C7">
            <w:pPr>
              <w:pStyle w:val="TableText"/>
            </w:pPr>
            <w:r>
              <w:t>To design and deliver a 2026 Calendar of Events, targeted to our workforce needed.</w:t>
            </w:r>
            <w:r w:rsidR="0006163F">
              <w:t xml:space="preserve"> </w:t>
            </w:r>
          </w:p>
        </w:tc>
        <w:tc>
          <w:tcPr>
            <w:tcW w:w="1444" w:type="dxa"/>
          </w:tcPr>
          <w:p w14:paraId="15856A34" w14:textId="7F1F3520" w:rsidR="00C85696" w:rsidRPr="009D1CC6" w:rsidRDefault="009B456C" w:rsidP="00F939C7">
            <w:pPr>
              <w:pStyle w:val="TableText"/>
            </w:pPr>
            <w:r>
              <w:t>March 2026</w:t>
            </w:r>
          </w:p>
        </w:tc>
      </w:tr>
      <w:tr w:rsidR="00D97BD7" w:rsidRPr="009D1CC6" w14:paraId="4871659A" w14:textId="77777777" w:rsidTr="00D97BD7">
        <w:trPr>
          <w:cantSplit/>
          <w:trHeight w:val="1701"/>
        </w:trPr>
        <w:tc>
          <w:tcPr>
            <w:tcW w:w="1119" w:type="dxa"/>
            <w:vMerge/>
            <w:shd w:val="clear" w:color="auto" w:fill="D9F0FA" w:themeFill="accent4" w:themeFillTint="33"/>
          </w:tcPr>
          <w:p w14:paraId="5FA7E9FF" w14:textId="77777777" w:rsidR="00D97BD7" w:rsidRPr="009D1CC6" w:rsidRDefault="00D97BD7" w:rsidP="00E33027">
            <w:pPr>
              <w:rPr>
                <w:rFonts w:cs="Arial"/>
              </w:rPr>
            </w:pPr>
          </w:p>
        </w:tc>
        <w:tc>
          <w:tcPr>
            <w:tcW w:w="3111" w:type="dxa"/>
            <w:shd w:val="clear" w:color="auto" w:fill="D9F0FA" w:themeFill="accent4" w:themeFillTint="33"/>
          </w:tcPr>
          <w:p w14:paraId="47C8C0CA" w14:textId="77777777" w:rsidR="00D97BD7" w:rsidRPr="009D1CC6" w:rsidRDefault="00D97BD7" w:rsidP="00E33027">
            <w:pPr>
              <w:rPr>
                <w:rFonts w:cs="Arial"/>
              </w:rPr>
            </w:pPr>
          </w:p>
        </w:tc>
        <w:tc>
          <w:tcPr>
            <w:tcW w:w="8780" w:type="dxa"/>
          </w:tcPr>
          <w:p w14:paraId="7B98E776" w14:textId="01641156" w:rsidR="00D97BD7" w:rsidRDefault="00D97BD7" w:rsidP="00F939C7">
            <w:pPr>
              <w:pStyle w:val="TableText"/>
            </w:pPr>
            <w:r>
              <w:t xml:space="preserve">To undertake an analysis of long-term sickness data by protected </w:t>
            </w:r>
            <w:proofErr w:type="spellStart"/>
            <w:r>
              <w:t>charachteristic</w:t>
            </w:r>
            <w:proofErr w:type="spellEnd"/>
            <w:r>
              <w:t xml:space="preserve"> to understand </w:t>
            </w:r>
            <w:r w:rsidR="009B456C">
              <w:t xml:space="preserve">any themes, identifying and initiating targeted action. </w:t>
            </w:r>
          </w:p>
        </w:tc>
        <w:tc>
          <w:tcPr>
            <w:tcW w:w="1444" w:type="dxa"/>
          </w:tcPr>
          <w:p w14:paraId="33F49127" w14:textId="33F28C78" w:rsidR="00D97BD7" w:rsidRPr="009D1CC6" w:rsidRDefault="009B456C" w:rsidP="00F939C7">
            <w:pPr>
              <w:pStyle w:val="TableText"/>
            </w:pPr>
            <w:r>
              <w:t>April 2026</w:t>
            </w:r>
          </w:p>
        </w:tc>
      </w:tr>
      <w:tr w:rsidR="00C85696" w:rsidRPr="009D1CC6" w14:paraId="669933D7" w14:textId="77777777" w:rsidTr="00D97BD7">
        <w:trPr>
          <w:cantSplit/>
          <w:trHeight w:val="1701"/>
        </w:trPr>
        <w:tc>
          <w:tcPr>
            <w:tcW w:w="1119" w:type="dxa"/>
            <w:vMerge/>
            <w:shd w:val="clear" w:color="auto" w:fill="D9F0FA" w:themeFill="accent4" w:themeFillTint="33"/>
          </w:tcPr>
          <w:p w14:paraId="79063383" w14:textId="77777777" w:rsidR="00C85696" w:rsidRPr="009D1CC6" w:rsidRDefault="00C85696" w:rsidP="00E33027">
            <w:pPr>
              <w:rPr>
                <w:rFonts w:cs="Arial"/>
              </w:rPr>
            </w:pPr>
          </w:p>
        </w:tc>
        <w:tc>
          <w:tcPr>
            <w:tcW w:w="3111" w:type="dxa"/>
            <w:shd w:val="clear" w:color="auto" w:fill="D9F0FA" w:themeFill="accent4" w:themeFillTint="33"/>
          </w:tcPr>
          <w:p w14:paraId="7DF32D82" w14:textId="77777777" w:rsidR="00C85696" w:rsidRPr="009D1CC6" w:rsidRDefault="00C85696" w:rsidP="00E33027">
            <w:pPr>
              <w:rPr>
                <w:rFonts w:cs="Arial"/>
              </w:rPr>
            </w:pPr>
            <w:r w:rsidRPr="009D1CC6">
              <w:rPr>
                <w:rFonts w:cs="Arial"/>
              </w:rPr>
              <w:t xml:space="preserve">2B: When at work, staff are free from abuse, harassment, bullying and physical violence from any source </w:t>
            </w:r>
          </w:p>
        </w:tc>
        <w:tc>
          <w:tcPr>
            <w:tcW w:w="8780" w:type="dxa"/>
          </w:tcPr>
          <w:p w14:paraId="48AC4230" w14:textId="40F6CF63" w:rsidR="00C85696" w:rsidRPr="009D1CC6" w:rsidRDefault="00C85696" w:rsidP="00F939C7">
            <w:pPr>
              <w:pStyle w:val="TableText"/>
            </w:pPr>
            <w:r>
              <w:t xml:space="preserve">To increase reporting of staff experiencing abuse, harassment, bullying and physical violence, ensuring analysis and action planning via protected </w:t>
            </w:r>
            <w:r w:rsidR="00855A1E">
              <w:t>characteristics</w:t>
            </w:r>
            <w:r>
              <w:t xml:space="preserve">. </w:t>
            </w:r>
          </w:p>
        </w:tc>
        <w:tc>
          <w:tcPr>
            <w:tcW w:w="1444" w:type="dxa"/>
          </w:tcPr>
          <w:p w14:paraId="13741012" w14:textId="1B3A205C" w:rsidR="00C85696" w:rsidRPr="009D1CC6" w:rsidRDefault="0075487A" w:rsidP="00F939C7">
            <w:pPr>
              <w:pStyle w:val="TableText"/>
            </w:pPr>
            <w:r>
              <w:t>September 2026</w:t>
            </w:r>
          </w:p>
        </w:tc>
      </w:tr>
      <w:tr w:rsidR="00C85696" w:rsidRPr="009D1CC6" w14:paraId="559A34D0" w14:textId="77777777" w:rsidTr="00D97BD7">
        <w:trPr>
          <w:cantSplit/>
          <w:trHeight w:val="1701"/>
        </w:trPr>
        <w:tc>
          <w:tcPr>
            <w:tcW w:w="1119" w:type="dxa"/>
            <w:vMerge/>
            <w:shd w:val="clear" w:color="auto" w:fill="D9F0FA" w:themeFill="accent4" w:themeFillTint="33"/>
          </w:tcPr>
          <w:p w14:paraId="464DE3BA" w14:textId="77777777" w:rsidR="00C85696" w:rsidRPr="009D1CC6" w:rsidRDefault="00C85696" w:rsidP="00E33027">
            <w:pPr>
              <w:rPr>
                <w:rFonts w:cs="Arial"/>
              </w:rPr>
            </w:pPr>
          </w:p>
        </w:tc>
        <w:tc>
          <w:tcPr>
            <w:tcW w:w="3111" w:type="dxa"/>
            <w:shd w:val="clear" w:color="auto" w:fill="D9F0FA" w:themeFill="accent4" w:themeFillTint="33"/>
          </w:tcPr>
          <w:p w14:paraId="35264158" w14:textId="77777777" w:rsidR="00C85696" w:rsidRPr="009D1CC6" w:rsidRDefault="00C85696" w:rsidP="00E33027">
            <w:pPr>
              <w:rPr>
                <w:rFonts w:cs="Arial"/>
              </w:rPr>
            </w:pPr>
          </w:p>
        </w:tc>
        <w:tc>
          <w:tcPr>
            <w:tcW w:w="8780" w:type="dxa"/>
          </w:tcPr>
          <w:p w14:paraId="480E8F9B" w14:textId="41AAEA92" w:rsidR="00C85696" w:rsidRDefault="00C85696" w:rsidP="00F939C7">
            <w:pPr>
              <w:pStyle w:val="TableText"/>
            </w:pPr>
            <w:r>
              <w:t>To launch the Trust Violence and Aggression Policy, further developing the Trusts zero tolerance campaign with targeted activity to staff most at risk (including those with protected characteristics)</w:t>
            </w:r>
          </w:p>
        </w:tc>
        <w:tc>
          <w:tcPr>
            <w:tcW w:w="1444" w:type="dxa"/>
          </w:tcPr>
          <w:p w14:paraId="71A80379" w14:textId="6121CBC2" w:rsidR="00C85696" w:rsidRPr="009D1CC6" w:rsidRDefault="0075487A" w:rsidP="00F939C7">
            <w:pPr>
              <w:pStyle w:val="TableText"/>
            </w:pPr>
            <w:r>
              <w:t>April 2026</w:t>
            </w:r>
          </w:p>
        </w:tc>
      </w:tr>
      <w:tr w:rsidR="00C85696" w:rsidRPr="009D1CC6" w14:paraId="5D5DD015" w14:textId="77777777" w:rsidTr="00D97BD7">
        <w:trPr>
          <w:cantSplit/>
          <w:trHeight w:val="1701"/>
        </w:trPr>
        <w:tc>
          <w:tcPr>
            <w:tcW w:w="1119" w:type="dxa"/>
            <w:vMerge/>
            <w:shd w:val="clear" w:color="auto" w:fill="D9F0FA" w:themeFill="accent4" w:themeFillTint="33"/>
          </w:tcPr>
          <w:p w14:paraId="5AD546EB" w14:textId="77777777" w:rsidR="00C85696" w:rsidRPr="009D1CC6" w:rsidRDefault="00C85696" w:rsidP="00E33027">
            <w:pPr>
              <w:rPr>
                <w:rFonts w:cs="Arial"/>
              </w:rPr>
            </w:pPr>
          </w:p>
        </w:tc>
        <w:tc>
          <w:tcPr>
            <w:tcW w:w="3111" w:type="dxa"/>
            <w:shd w:val="clear" w:color="auto" w:fill="D9F0FA" w:themeFill="accent4" w:themeFillTint="33"/>
          </w:tcPr>
          <w:p w14:paraId="430E8B0D" w14:textId="77777777" w:rsidR="00C85696" w:rsidRPr="009D1CC6" w:rsidRDefault="00C85696" w:rsidP="00E33027">
            <w:pPr>
              <w:rPr>
                <w:rFonts w:cs="Arial"/>
              </w:rPr>
            </w:pPr>
          </w:p>
        </w:tc>
        <w:tc>
          <w:tcPr>
            <w:tcW w:w="8780" w:type="dxa"/>
          </w:tcPr>
          <w:p w14:paraId="36E0A6FF" w14:textId="2A273FDE" w:rsidR="00C85696" w:rsidRDefault="00C85696" w:rsidP="00F939C7">
            <w:pPr>
              <w:pStyle w:val="TableText"/>
            </w:pPr>
            <w:r>
              <w:t xml:space="preserve">To ensure formal reporting of incidents against staff is embedded within Trust governance structures. </w:t>
            </w:r>
          </w:p>
        </w:tc>
        <w:tc>
          <w:tcPr>
            <w:tcW w:w="1444" w:type="dxa"/>
          </w:tcPr>
          <w:p w14:paraId="637367B1" w14:textId="30EB4B16" w:rsidR="00C85696" w:rsidRPr="009D1CC6" w:rsidRDefault="0075487A" w:rsidP="00F939C7">
            <w:pPr>
              <w:pStyle w:val="TableText"/>
            </w:pPr>
            <w:r>
              <w:t>April 2026</w:t>
            </w:r>
          </w:p>
        </w:tc>
      </w:tr>
      <w:tr w:rsidR="00C85696" w:rsidRPr="009D1CC6" w14:paraId="7B66CA27" w14:textId="77777777" w:rsidTr="00D97BD7">
        <w:trPr>
          <w:cantSplit/>
          <w:trHeight w:val="1701"/>
        </w:trPr>
        <w:tc>
          <w:tcPr>
            <w:tcW w:w="1119" w:type="dxa"/>
            <w:vMerge/>
            <w:shd w:val="clear" w:color="auto" w:fill="D9F0FA" w:themeFill="accent4" w:themeFillTint="33"/>
          </w:tcPr>
          <w:p w14:paraId="1E66ACE1" w14:textId="77777777" w:rsidR="00C85696" w:rsidRPr="009D1CC6" w:rsidRDefault="00C85696" w:rsidP="00E33027">
            <w:pPr>
              <w:rPr>
                <w:rFonts w:cs="Arial"/>
              </w:rPr>
            </w:pPr>
          </w:p>
        </w:tc>
        <w:tc>
          <w:tcPr>
            <w:tcW w:w="3111" w:type="dxa"/>
            <w:shd w:val="clear" w:color="auto" w:fill="D9F0FA" w:themeFill="accent4" w:themeFillTint="33"/>
          </w:tcPr>
          <w:p w14:paraId="6402EB2F" w14:textId="77777777" w:rsidR="00C85696" w:rsidRPr="009D1CC6" w:rsidRDefault="00C85696" w:rsidP="00E33027">
            <w:pPr>
              <w:rPr>
                <w:rFonts w:cs="Arial"/>
              </w:rPr>
            </w:pPr>
            <w:r w:rsidRPr="009D1CC6">
              <w:rPr>
                <w:rFonts w:cs="Arial"/>
              </w:rPr>
              <w:t>2C: Staff have access to independent support and advice when suffering from stress, abuse, bullying harassment and physical violence from any source</w:t>
            </w:r>
          </w:p>
        </w:tc>
        <w:tc>
          <w:tcPr>
            <w:tcW w:w="8780" w:type="dxa"/>
          </w:tcPr>
          <w:p w14:paraId="6A6C9E43" w14:textId="7DDD10D2" w:rsidR="00C85696" w:rsidRPr="009D1CC6" w:rsidRDefault="004008A1" w:rsidP="00F939C7">
            <w:pPr>
              <w:pStyle w:val="TableText"/>
            </w:pPr>
            <w:r>
              <w:t xml:space="preserve">To evaluate the impact of the support provided to staff, identifying and sharing areas of good practice, creating feedback loops to staff and identifying actions for improvement where required. </w:t>
            </w:r>
          </w:p>
        </w:tc>
        <w:tc>
          <w:tcPr>
            <w:tcW w:w="1444" w:type="dxa"/>
          </w:tcPr>
          <w:p w14:paraId="6400526B" w14:textId="23EA6501" w:rsidR="00C85696" w:rsidRPr="009D1CC6" w:rsidRDefault="0075487A" w:rsidP="00F939C7">
            <w:pPr>
              <w:pStyle w:val="TableText"/>
            </w:pPr>
            <w:r>
              <w:t>April 2026</w:t>
            </w:r>
          </w:p>
        </w:tc>
      </w:tr>
      <w:tr w:rsidR="00C85696" w:rsidRPr="009D1CC6" w14:paraId="61379A17" w14:textId="77777777" w:rsidTr="00D97BD7">
        <w:trPr>
          <w:cantSplit/>
          <w:trHeight w:val="1701"/>
        </w:trPr>
        <w:tc>
          <w:tcPr>
            <w:tcW w:w="1119" w:type="dxa"/>
            <w:vMerge/>
            <w:shd w:val="clear" w:color="auto" w:fill="D9F0FA" w:themeFill="accent4" w:themeFillTint="33"/>
          </w:tcPr>
          <w:p w14:paraId="316640F7" w14:textId="77777777" w:rsidR="00C85696" w:rsidRPr="009D1CC6" w:rsidRDefault="00C85696" w:rsidP="00E33027">
            <w:pPr>
              <w:rPr>
                <w:rFonts w:cs="Arial"/>
              </w:rPr>
            </w:pPr>
          </w:p>
        </w:tc>
        <w:tc>
          <w:tcPr>
            <w:tcW w:w="3111" w:type="dxa"/>
            <w:shd w:val="clear" w:color="auto" w:fill="D9F0FA" w:themeFill="accent4" w:themeFillTint="33"/>
          </w:tcPr>
          <w:p w14:paraId="3AD714E1" w14:textId="77777777" w:rsidR="00C85696" w:rsidRPr="009D1CC6" w:rsidRDefault="00C85696" w:rsidP="00E33027">
            <w:pPr>
              <w:rPr>
                <w:rFonts w:cs="Arial"/>
              </w:rPr>
            </w:pPr>
            <w:r w:rsidRPr="009D1CC6">
              <w:rPr>
                <w:rFonts w:cs="Arial"/>
              </w:rPr>
              <w:t>2D: Staff recommend the organisation as a place to work and receive treatment</w:t>
            </w:r>
          </w:p>
        </w:tc>
        <w:tc>
          <w:tcPr>
            <w:tcW w:w="8780" w:type="dxa"/>
          </w:tcPr>
          <w:p w14:paraId="4B959330" w14:textId="74DB09C1" w:rsidR="00C85696" w:rsidRPr="009D1CC6" w:rsidRDefault="00C85696" w:rsidP="00F939C7">
            <w:pPr>
              <w:pStyle w:val="TableText"/>
            </w:pPr>
            <w:r>
              <w:t>To further develop the analysis of staff experience (incl. Advocacy data) by protected characteristics and implement meaningful actions (working in partnership with staff networks)</w:t>
            </w:r>
          </w:p>
        </w:tc>
        <w:tc>
          <w:tcPr>
            <w:tcW w:w="1444" w:type="dxa"/>
          </w:tcPr>
          <w:p w14:paraId="443C87EE" w14:textId="5746B5F2" w:rsidR="00C85696" w:rsidRPr="009D1CC6" w:rsidRDefault="0075487A" w:rsidP="00F939C7">
            <w:pPr>
              <w:pStyle w:val="TableText"/>
            </w:pPr>
            <w:r>
              <w:t>Sept 2026</w:t>
            </w:r>
          </w:p>
        </w:tc>
      </w:tr>
    </w:tbl>
    <w:p w14:paraId="379B4D4E" w14:textId="77777777" w:rsidR="00BB480F" w:rsidRPr="009D1CC6" w:rsidRDefault="00BB480F" w:rsidP="00BB480F">
      <w:r w:rsidRPr="009D1CC6">
        <w:br w:type="page"/>
      </w:r>
    </w:p>
    <w:p w14:paraId="57E3CDD1" w14:textId="77777777" w:rsidR="00BB480F" w:rsidRPr="009D1CC6" w:rsidRDefault="00BB480F" w:rsidP="00BB480F"/>
    <w:tbl>
      <w:tblPr>
        <w:tblStyle w:val="TableGrid"/>
        <w:tblW w:w="14454"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13"/>
        <w:gridCol w:w="3092"/>
        <w:gridCol w:w="8805"/>
        <w:gridCol w:w="1444"/>
      </w:tblGrid>
      <w:tr w:rsidR="00C85696" w:rsidRPr="009D1CC6" w14:paraId="415C2E2B" w14:textId="77777777" w:rsidTr="000B2C8C">
        <w:tc>
          <w:tcPr>
            <w:tcW w:w="1123" w:type="dxa"/>
            <w:shd w:val="clear" w:color="auto" w:fill="B3E1F5" w:themeFill="accent4" w:themeFillTint="66"/>
          </w:tcPr>
          <w:p w14:paraId="595BAD01" w14:textId="77777777" w:rsidR="00C85696" w:rsidRPr="009D1CC6" w:rsidRDefault="00C85696" w:rsidP="00E33027">
            <w:pPr>
              <w:rPr>
                <w:rFonts w:cs="Arial"/>
                <w:b/>
              </w:rPr>
            </w:pPr>
            <w:r w:rsidRPr="009D1CC6">
              <w:rPr>
                <w:rFonts w:cs="Arial"/>
                <w:b/>
              </w:rPr>
              <w:t xml:space="preserve">Domain </w:t>
            </w:r>
          </w:p>
        </w:tc>
        <w:tc>
          <w:tcPr>
            <w:tcW w:w="3195" w:type="dxa"/>
            <w:shd w:val="clear" w:color="auto" w:fill="B3E1F5" w:themeFill="accent4" w:themeFillTint="66"/>
          </w:tcPr>
          <w:p w14:paraId="2D08F6A7" w14:textId="77777777" w:rsidR="00C85696" w:rsidRPr="009D1CC6" w:rsidRDefault="00C85696" w:rsidP="00E33027">
            <w:pPr>
              <w:rPr>
                <w:rFonts w:cs="Arial"/>
                <w:b/>
              </w:rPr>
            </w:pPr>
            <w:r w:rsidRPr="009D1CC6">
              <w:rPr>
                <w:rFonts w:cs="Arial"/>
                <w:b/>
              </w:rPr>
              <w:t xml:space="preserve">Outcome </w:t>
            </w:r>
          </w:p>
        </w:tc>
        <w:tc>
          <w:tcPr>
            <w:tcW w:w="9427" w:type="dxa"/>
            <w:shd w:val="clear" w:color="auto" w:fill="B3E1F5" w:themeFill="accent4" w:themeFillTint="66"/>
          </w:tcPr>
          <w:p w14:paraId="160709BC" w14:textId="77777777" w:rsidR="00C85696" w:rsidRPr="009D1CC6" w:rsidRDefault="00C85696" w:rsidP="00E33027">
            <w:pPr>
              <w:rPr>
                <w:rFonts w:cs="Arial"/>
                <w:b/>
              </w:rPr>
            </w:pPr>
            <w:r w:rsidRPr="009D1CC6">
              <w:rPr>
                <w:rFonts w:cs="Arial"/>
                <w:b/>
              </w:rPr>
              <w:t>Action</w:t>
            </w:r>
          </w:p>
        </w:tc>
        <w:tc>
          <w:tcPr>
            <w:tcW w:w="709" w:type="dxa"/>
            <w:shd w:val="clear" w:color="auto" w:fill="B3E1F5" w:themeFill="accent4" w:themeFillTint="66"/>
          </w:tcPr>
          <w:p w14:paraId="270D394E" w14:textId="77777777" w:rsidR="00C85696" w:rsidRPr="009D1CC6" w:rsidRDefault="00C85696" w:rsidP="00E33027">
            <w:pPr>
              <w:rPr>
                <w:rFonts w:cs="Arial"/>
                <w:b/>
              </w:rPr>
            </w:pPr>
            <w:r w:rsidRPr="009D1CC6">
              <w:rPr>
                <w:rFonts w:cs="Arial"/>
                <w:b/>
              </w:rPr>
              <w:t>Completion date</w:t>
            </w:r>
          </w:p>
        </w:tc>
      </w:tr>
      <w:tr w:rsidR="00C85696" w:rsidRPr="009D1CC6" w14:paraId="25D54515" w14:textId="77777777" w:rsidTr="000B2C8C">
        <w:tc>
          <w:tcPr>
            <w:tcW w:w="1123" w:type="dxa"/>
            <w:vMerge w:val="restart"/>
            <w:shd w:val="clear" w:color="auto" w:fill="B3E1F5" w:themeFill="accent4" w:themeFillTint="66"/>
            <w:textDirection w:val="btLr"/>
            <w:vAlign w:val="center"/>
          </w:tcPr>
          <w:p w14:paraId="0863F061" w14:textId="77777777" w:rsidR="00C85696" w:rsidRPr="009D1CC6" w:rsidRDefault="00C85696" w:rsidP="00E33027">
            <w:pPr>
              <w:ind w:left="113" w:right="113"/>
              <w:jc w:val="center"/>
              <w:rPr>
                <w:rFonts w:cs="Arial"/>
                <w:b/>
              </w:rPr>
            </w:pPr>
            <w:r w:rsidRPr="009D1CC6">
              <w:rPr>
                <w:rFonts w:cs="Arial"/>
                <w:b/>
              </w:rPr>
              <w:t>Domain 3:</w:t>
            </w:r>
          </w:p>
          <w:p w14:paraId="7D097B06" w14:textId="77777777" w:rsidR="00C85696" w:rsidRPr="009D1CC6" w:rsidRDefault="00C85696" w:rsidP="00E33027">
            <w:pPr>
              <w:ind w:left="113" w:right="113"/>
              <w:jc w:val="center"/>
              <w:rPr>
                <w:rFonts w:cs="Arial"/>
                <w:b/>
              </w:rPr>
            </w:pPr>
            <w:r w:rsidRPr="009D1CC6">
              <w:rPr>
                <w:rFonts w:cs="Arial"/>
                <w:b/>
              </w:rPr>
              <w:t>Inclusive leadership</w:t>
            </w:r>
          </w:p>
          <w:p w14:paraId="6FC18173" w14:textId="77777777" w:rsidR="00C85696" w:rsidRPr="009D1CC6" w:rsidRDefault="00C85696" w:rsidP="00E33027">
            <w:pPr>
              <w:ind w:left="113" w:right="113"/>
              <w:jc w:val="center"/>
              <w:rPr>
                <w:rFonts w:cs="Arial"/>
              </w:rPr>
            </w:pPr>
          </w:p>
        </w:tc>
        <w:tc>
          <w:tcPr>
            <w:tcW w:w="3195" w:type="dxa"/>
            <w:shd w:val="clear" w:color="auto" w:fill="B3E1F5" w:themeFill="accent4" w:themeFillTint="66"/>
          </w:tcPr>
          <w:p w14:paraId="6D9004BF" w14:textId="77777777" w:rsidR="00C85696" w:rsidRPr="009D1CC6" w:rsidRDefault="00C85696" w:rsidP="00E33027">
            <w:pPr>
              <w:spacing w:after="160"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9427" w:type="dxa"/>
          </w:tcPr>
          <w:p w14:paraId="7A6DAA69" w14:textId="51870B01" w:rsidR="00C85696" w:rsidRPr="009D1CC6" w:rsidRDefault="00BE48E7" w:rsidP="001659B6">
            <w:pPr>
              <w:pStyle w:val="TableText"/>
            </w:pPr>
            <w:r>
              <w:t xml:space="preserve">To </w:t>
            </w:r>
            <w:r w:rsidR="009B456C">
              <w:t xml:space="preserve">launch a Trust wide Anti-racism </w:t>
            </w:r>
            <w:proofErr w:type="gramStart"/>
            <w:r w:rsidR="009B456C">
              <w:t>campaign, and</w:t>
            </w:r>
            <w:proofErr w:type="gramEnd"/>
            <w:r w:rsidR="009B456C">
              <w:t xml:space="preserve"> </w:t>
            </w:r>
            <w:r>
              <w:t>achieve</w:t>
            </w:r>
            <w:r w:rsidR="00C85696">
              <w:t xml:space="preserve"> </w:t>
            </w:r>
            <w:proofErr w:type="spellStart"/>
            <w:r w:rsidR="00C85696">
              <w:t>achieve</w:t>
            </w:r>
            <w:proofErr w:type="spellEnd"/>
            <w:r w:rsidR="00C85696">
              <w:t xml:space="preserve"> Anti-racism Framework bronze accreditation</w:t>
            </w:r>
            <w:r w:rsidR="009B456C">
              <w:t>.</w:t>
            </w:r>
          </w:p>
        </w:tc>
        <w:tc>
          <w:tcPr>
            <w:tcW w:w="709" w:type="dxa"/>
          </w:tcPr>
          <w:p w14:paraId="5C2F8384" w14:textId="78B417F9" w:rsidR="00C85696" w:rsidRPr="009D1CC6" w:rsidRDefault="009B456C" w:rsidP="001659B6">
            <w:pPr>
              <w:pStyle w:val="TableText"/>
            </w:pPr>
            <w:r>
              <w:t>June 2026</w:t>
            </w:r>
          </w:p>
        </w:tc>
      </w:tr>
      <w:tr w:rsidR="00C85696" w:rsidRPr="009D1CC6" w14:paraId="3F997A52" w14:textId="77777777" w:rsidTr="000B2C8C">
        <w:tc>
          <w:tcPr>
            <w:tcW w:w="1123" w:type="dxa"/>
            <w:vMerge/>
            <w:shd w:val="clear" w:color="auto" w:fill="B3E1F5" w:themeFill="accent4" w:themeFillTint="66"/>
          </w:tcPr>
          <w:p w14:paraId="60390C1E" w14:textId="77777777" w:rsidR="00C85696" w:rsidRPr="009D1CC6" w:rsidRDefault="00C85696" w:rsidP="00E33027">
            <w:pPr>
              <w:rPr>
                <w:rFonts w:cs="Arial"/>
              </w:rPr>
            </w:pPr>
          </w:p>
        </w:tc>
        <w:tc>
          <w:tcPr>
            <w:tcW w:w="3195" w:type="dxa"/>
            <w:shd w:val="clear" w:color="auto" w:fill="B3E1F5" w:themeFill="accent4" w:themeFillTint="66"/>
          </w:tcPr>
          <w:p w14:paraId="0792B56A" w14:textId="77777777" w:rsidR="00C85696" w:rsidRPr="009D1CC6" w:rsidRDefault="00C85696" w:rsidP="00E33027">
            <w:pPr>
              <w:spacing w:after="160" w:line="259" w:lineRule="auto"/>
              <w:rPr>
                <w:rFonts w:cs="Arial"/>
              </w:rPr>
            </w:pPr>
          </w:p>
        </w:tc>
        <w:tc>
          <w:tcPr>
            <w:tcW w:w="9427" w:type="dxa"/>
          </w:tcPr>
          <w:p w14:paraId="01F0B74A" w14:textId="208D4D58" w:rsidR="00C85696" w:rsidRPr="009D1CC6" w:rsidRDefault="00C85696" w:rsidP="001659B6">
            <w:pPr>
              <w:pStyle w:val="TableText"/>
            </w:pPr>
            <w:r>
              <w:t>Ensure awareness and training in relation to equality and health inequalities is included in the Trusts culture work stream and leadership strategy implementation</w:t>
            </w:r>
          </w:p>
        </w:tc>
        <w:tc>
          <w:tcPr>
            <w:tcW w:w="709" w:type="dxa"/>
          </w:tcPr>
          <w:p w14:paraId="0AB43D1F" w14:textId="24E57BF5" w:rsidR="00C85696" w:rsidRPr="009D1CC6" w:rsidRDefault="009B456C" w:rsidP="001659B6">
            <w:pPr>
              <w:pStyle w:val="TableText"/>
            </w:pPr>
            <w:r>
              <w:t>December 2026</w:t>
            </w:r>
          </w:p>
        </w:tc>
      </w:tr>
      <w:tr w:rsidR="00C85696" w:rsidRPr="009D1CC6" w14:paraId="674403B9" w14:textId="77777777" w:rsidTr="000B2C8C">
        <w:tc>
          <w:tcPr>
            <w:tcW w:w="1123" w:type="dxa"/>
            <w:vMerge/>
            <w:shd w:val="clear" w:color="auto" w:fill="B3E1F5" w:themeFill="accent4" w:themeFillTint="66"/>
          </w:tcPr>
          <w:p w14:paraId="01C80036" w14:textId="77777777" w:rsidR="00C85696" w:rsidRPr="009D1CC6" w:rsidRDefault="00C85696" w:rsidP="00E33027">
            <w:pPr>
              <w:rPr>
                <w:rFonts w:cs="Arial"/>
              </w:rPr>
            </w:pPr>
          </w:p>
        </w:tc>
        <w:tc>
          <w:tcPr>
            <w:tcW w:w="3195" w:type="dxa"/>
            <w:shd w:val="clear" w:color="auto" w:fill="B3E1F5" w:themeFill="accent4" w:themeFillTint="66"/>
          </w:tcPr>
          <w:p w14:paraId="70BCD954" w14:textId="77777777" w:rsidR="00C85696" w:rsidRPr="009D1CC6" w:rsidRDefault="00C85696" w:rsidP="00E33027">
            <w:pPr>
              <w:spacing w:after="160"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9427" w:type="dxa"/>
          </w:tcPr>
          <w:p w14:paraId="132B6906" w14:textId="042DACA5" w:rsidR="00C85696" w:rsidRPr="009D1CC6" w:rsidRDefault="00C85696" w:rsidP="001659B6">
            <w:pPr>
              <w:pStyle w:val="TableText"/>
            </w:pPr>
            <w:r>
              <w:t>To review the use of the Trust EIA guidance and its effectiveness, undertaking a refresh, re-launch and awareness/training programme as appropriate</w:t>
            </w:r>
          </w:p>
        </w:tc>
        <w:tc>
          <w:tcPr>
            <w:tcW w:w="709" w:type="dxa"/>
          </w:tcPr>
          <w:p w14:paraId="0368D1C4" w14:textId="7D675ED3" w:rsidR="00C85696" w:rsidRPr="009D1CC6" w:rsidRDefault="009B456C" w:rsidP="001659B6">
            <w:pPr>
              <w:pStyle w:val="TableText"/>
            </w:pPr>
            <w:r>
              <w:t>March 2026</w:t>
            </w:r>
          </w:p>
        </w:tc>
      </w:tr>
      <w:tr w:rsidR="00C85696" w:rsidRPr="009D1CC6" w14:paraId="74FAE893" w14:textId="77777777" w:rsidTr="000B2C8C">
        <w:tc>
          <w:tcPr>
            <w:tcW w:w="1123" w:type="dxa"/>
            <w:vMerge/>
            <w:shd w:val="clear" w:color="auto" w:fill="B3E1F5" w:themeFill="accent4" w:themeFillTint="66"/>
          </w:tcPr>
          <w:p w14:paraId="374FC0E6" w14:textId="77777777" w:rsidR="00C85696" w:rsidRPr="009D1CC6" w:rsidRDefault="00C85696" w:rsidP="00E33027">
            <w:pPr>
              <w:rPr>
                <w:rFonts w:cs="Arial"/>
              </w:rPr>
            </w:pPr>
          </w:p>
        </w:tc>
        <w:tc>
          <w:tcPr>
            <w:tcW w:w="3195" w:type="dxa"/>
            <w:shd w:val="clear" w:color="auto" w:fill="B3E1F5" w:themeFill="accent4" w:themeFillTint="66"/>
          </w:tcPr>
          <w:p w14:paraId="09A81897" w14:textId="77777777" w:rsidR="00C85696" w:rsidRPr="009D1CC6" w:rsidRDefault="00C85696" w:rsidP="00E33027">
            <w:pPr>
              <w:spacing w:after="160" w:line="259" w:lineRule="auto"/>
              <w:rPr>
                <w:rFonts w:cs="Arial"/>
              </w:rPr>
            </w:pPr>
            <w:r w:rsidRPr="009D1CC6">
              <w:rPr>
                <w:rFonts w:cs="Arial"/>
              </w:rPr>
              <w:t xml:space="preserve">3C: Board members and system leaders (Band 9 and VSM) ensure levers are in place to manage performance and monitor </w:t>
            </w:r>
            <w:r w:rsidRPr="009D1CC6">
              <w:rPr>
                <w:rFonts w:cs="Arial"/>
              </w:rPr>
              <w:lastRenderedPageBreak/>
              <w:t>progress with staff and patients</w:t>
            </w:r>
          </w:p>
        </w:tc>
        <w:tc>
          <w:tcPr>
            <w:tcW w:w="9427" w:type="dxa"/>
          </w:tcPr>
          <w:p w14:paraId="4D647BAE" w14:textId="34CF9445" w:rsidR="00C85696" w:rsidRPr="009D1CC6" w:rsidRDefault="00D244B3" w:rsidP="001659B6">
            <w:pPr>
              <w:pStyle w:val="TableText"/>
            </w:pPr>
            <w:r>
              <w:lastRenderedPageBreak/>
              <w:t xml:space="preserve">To identify targeted work to increase the representation at Band 7 above where the current workforce does not already reflect the population that they serve, to include inclusive recruitment and career development actions. </w:t>
            </w:r>
          </w:p>
        </w:tc>
        <w:tc>
          <w:tcPr>
            <w:tcW w:w="709" w:type="dxa"/>
          </w:tcPr>
          <w:p w14:paraId="22E98E0A" w14:textId="4BB26541" w:rsidR="00C85696" w:rsidRPr="009D1CC6" w:rsidRDefault="009B456C" w:rsidP="001659B6">
            <w:pPr>
              <w:pStyle w:val="TableText"/>
            </w:pPr>
            <w:r>
              <w:t>December 2026</w:t>
            </w:r>
          </w:p>
        </w:tc>
      </w:tr>
    </w:tbl>
    <w:p w14:paraId="3924C2B8" w14:textId="0DE6692E" w:rsidR="00D05380" w:rsidRPr="009D1CC6" w:rsidRDefault="00D05380" w:rsidP="00F86A73">
      <w:pPr>
        <w:pStyle w:val="BodyText"/>
      </w:pPr>
    </w:p>
    <w:p w14:paraId="59C05D94" w14:textId="77777777" w:rsidR="00AB1EEE" w:rsidRPr="009D1CC6" w:rsidRDefault="00AB1EEE">
      <w:pPr>
        <w:sectPr w:rsidR="00AB1EEE" w:rsidRPr="009D1CC6" w:rsidSect="00924FC4">
          <w:pgSz w:w="16838" w:h="11906" w:orient="landscape" w:code="9"/>
          <w:pgMar w:top="1077" w:right="1985" w:bottom="1928" w:left="1247" w:header="624" w:footer="510" w:gutter="0"/>
          <w:cols w:space="708"/>
          <w:docGrid w:linePitch="360"/>
        </w:sectPr>
      </w:pPr>
    </w:p>
    <w:p w14:paraId="662BB6CA" w14:textId="54638A33" w:rsidR="00087FD8" w:rsidRPr="009D1CC6" w:rsidRDefault="00087FD8"/>
    <w:p w14:paraId="62446988" w14:textId="77D40BDC" w:rsidR="005E4CF5" w:rsidRPr="009D1CC6" w:rsidRDefault="00900DEC" w:rsidP="00F86A73">
      <w:pPr>
        <w:pStyle w:val="BodyText"/>
      </w:pPr>
      <w:r w:rsidRPr="009D1CC6">
        <w:rPr>
          <w:noProof/>
        </w:rPr>
        <mc:AlternateContent>
          <mc:Choice Requires="wps">
            <w:drawing>
              <wp:anchor distT="0" distB="0" distL="114300" distR="114300" simplePos="0" relativeHeight="251658240" behindDoc="1" locked="0" layoutInCell="1" allowOverlap="1" wp14:anchorId="1CD7DE53" wp14:editId="0E38CC1B">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15"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7DE53" id="back_page_holder" o:spid="_x0000_s1026" style="position:absolute;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stroked="f" strokeweight="1pt">
                <v:textbox inset="10mm,,,9mm">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16"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v:textbox>
                <w10:wrap anchorx="page" anchory="page"/>
              </v:rect>
            </w:pict>
          </mc:Fallback>
        </mc:AlternateContent>
      </w:r>
    </w:p>
    <w:sectPr w:rsidR="005E4CF5" w:rsidRPr="009D1CC6"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B8F3" w14:textId="77777777" w:rsidR="008E573A" w:rsidRDefault="008E573A" w:rsidP="00C62674">
      <w:r>
        <w:separator/>
      </w:r>
    </w:p>
  </w:endnote>
  <w:endnote w:type="continuationSeparator" w:id="0">
    <w:p w14:paraId="5657F2A1" w14:textId="77777777" w:rsidR="008E573A" w:rsidRDefault="008E573A" w:rsidP="00C62674">
      <w:r>
        <w:continuationSeparator/>
      </w:r>
    </w:p>
  </w:endnote>
  <w:endnote w:type="continuationNotice" w:id="1">
    <w:p w14:paraId="3ABA436E" w14:textId="77777777" w:rsidR="008E573A" w:rsidRDefault="008E5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FE71" w14:textId="226DF37D" w:rsidR="00254CE2" w:rsidRDefault="00254CE2">
    <w:pPr>
      <w:pStyle w:val="Footer"/>
    </w:pPr>
    <w:r>
      <w:rPr>
        <w:noProof/>
      </w:rPr>
      <mc:AlternateContent>
        <mc:Choice Requires="wps">
          <w:drawing>
            <wp:anchor distT="0" distB="0" distL="114300" distR="114300" simplePos="0" relativeHeight="251658240" behindDoc="1" locked="0" layoutInCell="1" allowOverlap="1" wp14:anchorId="1A040FA4" wp14:editId="28D8D135">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77C5A"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4D30D3">
      <w:fldChar w:fldCharType="begin"/>
    </w:r>
    <w:r w:rsidR="004D30D3">
      <w:instrText xml:space="preserve"> styleref Title </w:instrText>
    </w:r>
    <w:r w:rsidR="004D30D3">
      <w:fldChar w:fldCharType="separate"/>
    </w:r>
    <w:r w:rsidR="00C633A0">
      <w:rPr>
        <w:noProof/>
      </w:rPr>
      <w:t>EDS Reporting Template</w:t>
    </w:r>
    <w:r w:rsidR="004D30D3">
      <w:rPr>
        <w:noProof/>
      </w:rPr>
      <w:fldChar w:fldCharType="end"/>
    </w:r>
    <w:r w:rsidR="00E868F9">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962E" w14:textId="77777777" w:rsidR="008E573A" w:rsidRDefault="008E573A" w:rsidP="00C62674">
      <w:r>
        <w:separator/>
      </w:r>
    </w:p>
  </w:footnote>
  <w:footnote w:type="continuationSeparator" w:id="0">
    <w:p w14:paraId="60670656" w14:textId="77777777" w:rsidR="008E573A" w:rsidRDefault="008E573A" w:rsidP="00C62674">
      <w:r>
        <w:continuationSeparator/>
      </w:r>
    </w:p>
  </w:footnote>
  <w:footnote w:type="continuationNotice" w:id="1">
    <w:p w14:paraId="041C0484" w14:textId="77777777" w:rsidR="008E573A" w:rsidRDefault="008E5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2AF"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D3501F"/>
    <w:multiLevelType w:val="hybridMultilevel"/>
    <w:tmpl w:val="8E6A0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07F18"/>
    <w:multiLevelType w:val="hybridMultilevel"/>
    <w:tmpl w:val="653404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612F1"/>
    <w:multiLevelType w:val="multilevel"/>
    <w:tmpl w:val="DC8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01E99"/>
    <w:multiLevelType w:val="hybridMultilevel"/>
    <w:tmpl w:val="3ABCB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4B461D"/>
    <w:multiLevelType w:val="hybridMultilevel"/>
    <w:tmpl w:val="2DF68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8269C"/>
    <w:multiLevelType w:val="hybridMultilevel"/>
    <w:tmpl w:val="E2D474D0"/>
    <w:lvl w:ilvl="0" w:tplc="22A8101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0057D"/>
    <w:multiLevelType w:val="hybridMultilevel"/>
    <w:tmpl w:val="75663D60"/>
    <w:lvl w:ilvl="0" w:tplc="FC26C06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217D3D"/>
    <w:multiLevelType w:val="multilevel"/>
    <w:tmpl w:val="C9A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131D1"/>
    <w:multiLevelType w:val="multilevel"/>
    <w:tmpl w:val="D6C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421476"/>
    <w:multiLevelType w:val="multilevel"/>
    <w:tmpl w:val="6D52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47912"/>
    <w:multiLevelType w:val="multilevel"/>
    <w:tmpl w:val="E5F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56B6A"/>
    <w:multiLevelType w:val="hybridMultilevel"/>
    <w:tmpl w:val="16087B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5537E7"/>
    <w:multiLevelType w:val="multilevel"/>
    <w:tmpl w:val="990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630E7A"/>
    <w:multiLevelType w:val="multilevel"/>
    <w:tmpl w:val="29F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27604"/>
    <w:multiLevelType w:val="multilevel"/>
    <w:tmpl w:val="B8E24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22194"/>
    <w:multiLevelType w:val="hybridMultilevel"/>
    <w:tmpl w:val="720216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0E4B38"/>
    <w:multiLevelType w:val="multilevel"/>
    <w:tmpl w:val="65E4417A"/>
    <w:numStyleLink w:val="NHSListNumbers"/>
  </w:abstractNum>
  <w:abstractNum w:abstractNumId="22" w15:restartNumberingAfterBreak="0">
    <w:nsid w:val="542F5FF3"/>
    <w:multiLevelType w:val="multilevel"/>
    <w:tmpl w:val="7E3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9178E5"/>
    <w:multiLevelType w:val="hybridMultilevel"/>
    <w:tmpl w:val="0EB213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4F0E7C"/>
    <w:multiLevelType w:val="multilevel"/>
    <w:tmpl w:val="D93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B76CD"/>
    <w:multiLevelType w:val="multilevel"/>
    <w:tmpl w:val="C0D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743931"/>
    <w:multiLevelType w:val="hybridMultilevel"/>
    <w:tmpl w:val="35CC4036"/>
    <w:lvl w:ilvl="0" w:tplc="D6F2A53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0B49E6"/>
    <w:multiLevelType w:val="hybridMultilevel"/>
    <w:tmpl w:val="6534041A"/>
    <w:lvl w:ilvl="0" w:tplc="6D7CC4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0E3C3A"/>
    <w:multiLevelType w:val="multilevel"/>
    <w:tmpl w:val="6EB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300CE"/>
    <w:multiLevelType w:val="multilevel"/>
    <w:tmpl w:val="090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EB6F1A"/>
    <w:multiLevelType w:val="hybridMultilevel"/>
    <w:tmpl w:val="FEDCE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8390495">
    <w:abstractNumId w:val="6"/>
  </w:num>
  <w:num w:numId="2" w16cid:durableId="75175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68855">
    <w:abstractNumId w:val="10"/>
  </w:num>
  <w:num w:numId="4" w16cid:durableId="66347059">
    <w:abstractNumId w:val="11"/>
  </w:num>
  <w:num w:numId="5" w16cid:durableId="1718702138">
    <w:abstractNumId w:val="3"/>
  </w:num>
  <w:num w:numId="6" w16cid:durableId="1420642854">
    <w:abstractNumId w:val="0"/>
  </w:num>
  <w:num w:numId="7" w16cid:durableId="721292834">
    <w:abstractNumId w:val="26"/>
  </w:num>
  <w:num w:numId="8" w16cid:durableId="812478873">
    <w:abstractNumId w:val="20"/>
  </w:num>
  <w:num w:numId="9" w16cid:durableId="832138146">
    <w:abstractNumId w:val="30"/>
  </w:num>
  <w:num w:numId="10" w16cid:durableId="432747066">
    <w:abstractNumId w:val="7"/>
  </w:num>
  <w:num w:numId="11" w16cid:durableId="1658335748">
    <w:abstractNumId w:val="1"/>
  </w:num>
  <w:num w:numId="12" w16cid:durableId="2093811551">
    <w:abstractNumId w:val="9"/>
  </w:num>
  <w:num w:numId="13" w16cid:durableId="1441873847">
    <w:abstractNumId w:val="5"/>
  </w:num>
  <w:num w:numId="14" w16cid:durableId="963778145">
    <w:abstractNumId w:val="19"/>
  </w:num>
  <w:num w:numId="15" w16cid:durableId="1292982494">
    <w:abstractNumId w:val="23"/>
  </w:num>
  <w:num w:numId="16" w16cid:durableId="1247612595">
    <w:abstractNumId w:val="8"/>
  </w:num>
  <w:num w:numId="17" w16cid:durableId="2113014040">
    <w:abstractNumId w:val="16"/>
  </w:num>
  <w:num w:numId="18" w16cid:durableId="849487533">
    <w:abstractNumId w:val="18"/>
  </w:num>
  <w:num w:numId="19" w16cid:durableId="490800919">
    <w:abstractNumId w:val="28"/>
  </w:num>
  <w:num w:numId="20" w16cid:durableId="1815876020">
    <w:abstractNumId w:val="17"/>
  </w:num>
  <w:num w:numId="21" w16cid:durableId="1109858991">
    <w:abstractNumId w:val="13"/>
  </w:num>
  <w:num w:numId="22" w16cid:durableId="431631383">
    <w:abstractNumId w:val="24"/>
  </w:num>
  <w:num w:numId="23" w16cid:durableId="530459449">
    <w:abstractNumId w:val="12"/>
  </w:num>
  <w:num w:numId="24" w16cid:durableId="624654424">
    <w:abstractNumId w:val="4"/>
  </w:num>
  <w:num w:numId="25" w16cid:durableId="621812139">
    <w:abstractNumId w:val="14"/>
  </w:num>
  <w:num w:numId="26" w16cid:durableId="914511194">
    <w:abstractNumId w:val="29"/>
  </w:num>
  <w:num w:numId="27" w16cid:durableId="1049915493">
    <w:abstractNumId w:val="22"/>
  </w:num>
  <w:num w:numId="28" w16cid:durableId="1937442724">
    <w:abstractNumId w:val="15"/>
  </w:num>
  <w:num w:numId="29" w16cid:durableId="1988631614">
    <w:abstractNumId w:val="25"/>
  </w:num>
  <w:num w:numId="30" w16cid:durableId="1282611172">
    <w:abstractNumId w:val="27"/>
  </w:num>
  <w:num w:numId="31" w16cid:durableId="11104941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03AF7"/>
    <w:rsid w:val="000139EF"/>
    <w:rsid w:val="000248C6"/>
    <w:rsid w:val="0002771E"/>
    <w:rsid w:val="00027DD0"/>
    <w:rsid w:val="00032EF0"/>
    <w:rsid w:val="00033C32"/>
    <w:rsid w:val="000412EF"/>
    <w:rsid w:val="0004466C"/>
    <w:rsid w:val="00045789"/>
    <w:rsid w:val="000552A9"/>
    <w:rsid w:val="0006163F"/>
    <w:rsid w:val="00061719"/>
    <w:rsid w:val="00062114"/>
    <w:rsid w:val="00080805"/>
    <w:rsid w:val="00081276"/>
    <w:rsid w:val="00083202"/>
    <w:rsid w:val="00083A7E"/>
    <w:rsid w:val="00087FD8"/>
    <w:rsid w:val="00092770"/>
    <w:rsid w:val="000962B9"/>
    <w:rsid w:val="00096A6A"/>
    <w:rsid w:val="000A057A"/>
    <w:rsid w:val="000B2C8C"/>
    <w:rsid w:val="000B3A6C"/>
    <w:rsid w:val="000D3779"/>
    <w:rsid w:val="000E08D0"/>
    <w:rsid w:val="000E1FF7"/>
    <w:rsid w:val="000F0D5C"/>
    <w:rsid w:val="00104510"/>
    <w:rsid w:val="00104E87"/>
    <w:rsid w:val="00106B6E"/>
    <w:rsid w:val="0011344A"/>
    <w:rsid w:val="00113933"/>
    <w:rsid w:val="001241F4"/>
    <w:rsid w:val="001273D7"/>
    <w:rsid w:val="00136D28"/>
    <w:rsid w:val="001375F9"/>
    <w:rsid w:val="0014017A"/>
    <w:rsid w:val="0016281C"/>
    <w:rsid w:val="00162E26"/>
    <w:rsid w:val="001659B6"/>
    <w:rsid w:val="00171038"/>
    <w:rsid w:val="00181360"/>
    <w:rsid w:val="00196F50"/>
    <w:rsid w:val="001A1737"/>
    <w:rsid w:val="001A3D7E"/>
    <w:rsid w:val="001A5F6A"/>
    <w:rsid w:val="001B21D4"/>
    <w:rsid w:val="001B2B33"/>
    <w:rsid w:val="001E38D9"/>
    <w:rsid w:val="001E5254"/>
    <w:rsid w:val="00210242"/>
    <w:rsid w:val="00212A09"/>
    <w:rsid w:val="0021516C"/>
    <w:rsid w:val="002170A1"/>
    <w:rsid w:val="00224B11"/>
    <w:rsid w:val="00225FA8"/>
    <w:rsid w:val="00244BB6"/>
    <w:rsid w:val="00246FF7"/>
    <w:rsid w:val="00254CE2"/>
    <w:rsid w:val="00255D8F"/>
    <w:rsid w:val="002572DF"/>
    <w:rsid w:val="0027399B"/>
    <w:rsid w:val="00275245"/>
    <w:rsid w:val="00281427"/>
    <w:rsid w:val="002856DE"/>
    <w:rsid w:val="00286221"/>
    <w:rsid w:val="002921F7"/>
    <w:rsid w:val="002A39AB"/>
    <w:rsid w:val="002A39DF"/>
    <w:rsid w:val="002A4A04"/>
    <w:rsid w:val="002A7AA2"/>
    <w:rsid w:val="002B635E"/>
    <w:rsid w:val="002C1D27"/>
    <w:rsid w:val="002D0893"/>
    <w:rsid w:val="002D1915"/>
    <w:rsid w:val="002D6BF8"/>
    <w:rsid w:val="002E0F7C"/>
    <w:rsid w:val="002E1F40"/>
    <w:rsid w:val="002F7616"/>
    <w:rsid w:val="0030692D"/>
    <w:rsid w:val="003247B7"/>
    <w:rsid w:val="0032702A"/>
    <w:rsid w:val="003448B9"/>
    <w:rsid w:val="0034545C"/>
    <w:rsid w:val="003506FF"/>
    <w:rsid w:val="00360CD8"/>
    <w:rsid w:val="003674C7"/>
    <w:rsid w:val="003722BA"/>
    <w:rsid w:val="00376093"/>
    <w:rsid w:val="003913E5"/>
    <w:rsid w:val="00394044"/>
    <w:rsid w:val="003A099B"/>
    <w:rsid w:val="003A0C39"/>
    <w:rsid w:val="003A1CF9"/>
    <w:rsid w:val="003B6559"/>
    <w:rsid w:val="003B6D54"/>
    <w:rsid w:val="003C56CE"/>
    <w:rsid w:val="003D77F0"/>
    <w:rsid w:val="003E1DF4"/>
    <w:rsid w:val="004008A1"/>
    <w:rsid w:val="00400D85"/>
    <w:rsid w:val="0041388D"/>
    <w:rsid w:val="00422896"/>
    <w:rsid w:val="00431145"/>
    <w:rsid w:val="00432559"/>
    <w:rsid w:val="00452BCA"/>
    <w:rsid w:val="00466C4A"/>
    <w:rsid w:val="00497F3F"/>
    <w:rsid w:val="004A31D5"/>
    <w:rsid w:val="004D03ED"/>
    <w:rsid w:val="004D30D3"/>
    <w:rsid w:val="004D7873"/>
    <w:rsid w:val="004F0398"/>
    <w:rsid w:val="004F11D9"/>
    <w:rsid w:val="004F3421"/>
    <w:rsid w:val="00503A46"/>
    <w:rsid w:val="00510CDF"/>
    <w:rsid w:val="005127C7"/>
    <w:rsid w:val="00516192"/>
    <w:rsid w:val="0051682D"/>
    <w:rsid w:val="00523DE4"/>
    <w:rsid w:val="00524EDA"/>
    <w:rsid w:val="005263E6"/>
    <w:rsid w:val="00526FED"/>
    <w:rsid w:val="00534CA3"/>
    <w:rsid w:val="00534D4A"/>
    <w:rsid w:val="00541EC1"/>
    <w:rsid w:val="0055406D"/>
    <w:rsid w:val="00561F27"/>
    <w:rsid w:val="005662C6"/>
    <w:rsid w:val="00567CDA"/>
    <w:rsid w:val="00570BC3"/>
    <w:rsid w:val="005739D0"/>
    <w:rsid w:val="005806C1"/>
    <w:rsid w:val="0059117A"/>
    <w:rsid w:val="005A0E31"/>
    <w:rsid w:val="005C0B3B"/>
    <w:rsid w:val="005C259C"/>
    <w:rsid w:val="005D6E20"/>
    <w:rsid w:val="005E4CF5"/>
    <w:rsid w:val="005F4852"/>
    <w:rsid w:val="005F73AD"/>
    <w:rsid w:val="0061023B"/>
    <w:rsid w:val="0061299F"/>
    <w:rsid w:val="0061696E"/>
    <w:rsid w:val="00630977"/>
    <w:rsid w:val="006440D3"/>
    <w:rsid w:val="0064622F"/>
    <w:rsid w:val="006506AE"/>
    <w:rsid w:val="00663E08"/>
    <w:rsid w:val="00665FA9"/>
    <w:rsid w:val="00667CF9"/>
    <w:rsid w:val="006721A6"/>
    <w:rsid w:val="006734F1"/>
    <w:rsid w:val="0067577A"/>
    <w:rsid w:val="00675E11"/>
    <w:rsid w:val="00687FBC"/>
    <w:rsid w:val="006A0236"/>
    <w:rsid w:val="006B2129"/>
    <w:rsid w:val="006B3373"/>
    <w:rsid w:val="006B4636"/>
    <w:rsid w:val="006C363D"/>
    <w:rsid w:val="006D1758"/>
    <w:rsid w:val="006D4369"/>
    <w:rsid w:val="006D5947"/>
    <w:rsid w:val="006E4AEB"/>
    <w:rsid w:val="006E50DA"/>
    <w:rsid w:val="006F5E88"/>
    <w:rsid w:val="00702CA1"/>
    <w:rsid w:val="007038F4"/>
    <w:rsid w:val="0071525F"/>
    <w:rsid w:val="00747FE5"/>
    <w:rsid w:val="007542A0"/>
    <w:rsid w:val="0075487A"/>
    <w:rsid w:val="00754E91"/>
    <w:rsid w:val="00757868"/>
    <w:rsid w:val="007603ED"/>
    <w:rsid w:val="00764F5E"/>
    <w:rsid w:val="007808F8"/>
    <w:rsid w:val="00792B97"/>
    <w:rsid w:val="00793019"/>
    <w:rsid w:val="00793E89"/>
    <w:rsid w:val="0079661D"/>
    <w:rsid w:val="00797721"/>
    <w:rsid w:val="007A5195"/>
    <w:rsid w:val="007C57D8"/>
    <w:rsid w:val="007E047C"/>
    <w:rsid w:val="007E60BE"/>
    <w:rsid w:val="007F2E69"/>
    <w:rsid w:val="007F31B1"/>
    <w:rsid w:val="007F3C8C"/>
    <w:rsid w:val="007F6E18"/>
    <w:rsid w:val="00802E21"/>
    <w:rsid w:val="008270EB"/>
    <w:rsid w:val="00833395"/>
    <w:rsid w:val="00837FAC"/>
    <w:rsid w:val="00840F10"/>
    <w:rsid w:val="00841A49"/>
    <w:rsid w:val="00844232"/>
    <w:rsid w:val="0084531D"/>
    <w:rsid w:val="008504EF"/>
    <w:rsid w:val="0085109C"/>
    <w:rsid w:val="008516CE"/>
    <w:rsid w:val="008556B8"/>
    <w:rsid w:val="00855A1E"/>
    <w:rsid w:val="008567CD"/>
    <w:rsid w:val="0085705A"/>
    <w:rsid w:val="00862C91"/>
    <w:rsid w:val="00871278"/>
    <w:rsid w:val="00873A81"/>
    <w:rsid w:val="0087548A"/>
    <w:rsid w:val="00876072"/>
    <w:rsid w:val="008802D4"/>
    <w:rsid w:val="008842BC"/>
    <w:rsid w:val="00885268"/>
    <w:rsid w:val="00890FA1"/>
    <w:rsid w:val="008A1A04"/>
    <w:rsid w:val="008A6420"/>
    <w:rsid w:val="008C2BEE"/>
    <w:rsid w:val="008E573A"/>
    <w:rsid w:val="008E6AE9"/>
    <w:rsid w:val="008F4EE4"/>
    <w:rsid w:val="00900737"/>
    <w:rsid w:val="00900DEC"/>
    <w:rsid w:val="0090393A"/>
    <w:rsid w:val="00912B8D"/>
    <w:rsid w:val="00924FC4"/>
    <w:rsid w:val="00932EDF"/>
    <w:rsid w:val="00944199"/>
    <w:rsid w:val="00944CDA"/>
    <w:rsid w:val="0094621A"/>
    <w:rsid w:val="00947295"/>
    <w:rsid w:val="009539AC"/>
    <w:rsid w:val="00953DB8"/>
    <w:rsid w:val="00954125"/>
    <w:rsid w:val="009555C2"/>
    <w:rsid w:val="009609CE"/>
    <w:rsid w:val="009677FF"/>
    <w:rsid w:val="00981245"/>
    <w:rsid w:val="009917B6"/>
    <w:rsid w:val="00991A82"/>
    <w:rsid w:val="009945D8"/>
    <w:rsid w:val="00994709"/>
    <w:rsid w:val="00995C64"/>
    <w:rsid w:val="009A120A"/>
    <w:rsid w:val="009A1A5D"/>
    <w:rsid w:val="009A625A"/>
    <w:rsid w:val="009B456C"/>
    <w:rsid w:val="009B7C41"/>
    <w:rsid w:val="009C2CD0"/>
    <w:rsid w:val="009C5580"/>
    <w:rsid w:val="009D1CC6"/>
    <w:rsid w:val="009E142E"/>
    <w:rsid w:val="009F14B9"/>
    <w:rsid w:val="009F4304"/>
    <w:rsid w:val="00A12AAD"/>
    <w:rsid w:val="00A13EEA"/>
    <w:rsid w:val="00A16916"/>
    <w:rsid w:val="00A16CFB"/>
    <w:rsid w:val="00A178F8"/>
    <w:rsid w:val="00A31A7A"/>
    <w:rsid w:val="00A64A27"/>
    <w:rsid w:val="00A6791B"/>
    <w:rsid w:val="00A704B3"/>
    <w:rsid w:val="00A74BC8"/>
    <w:rsid w:val="00A7659F"/>
    <w:rsid w:val="00A7691B"/>
    <w:rsid w:val="00A77D6D"/>
    <w:rsid w:val="00A8096D"/>
    <w:rsid w:val="00A87C2B"/>
    <w:rsid w:val="00AA040A"/>
    <w:rsid w:val="00AA2BB3"/>
    <w:rsid w:val="00AA453F"/>
    <w:rsid w:val="00AB085B"/>
    <w:rsid w:val="00AB1EEE"/>
    <w:rsid w:val="00AB26E9"/>
    <w:rsid w:val="00AB2894"/>
    <w:rsid w:val="00AB508B"/>
    <w:rsid w:val="00AD18B5"/>
    <w:rsid w:val="00AD7662"/>
    <w:rsid w:val="00AE5CE0"/>
    <w:rsid w:val="00AE6EF7"/>
    <w:rsid w:val="00AF1CE6"/>
    <w:rsid w:val="00AF1E21"/>
    <w:rsid w:val="00B045E4"/>
    <w:rsid w:val="00B0463F"/>
    <w:rsid w:val="00B12EFB"/>
    <w:rsid w:val="00B13C1F"/>
    <w:rsid w:val="00B145A4"/>
    <w:rsid w:val="00B17AC7"/>
    <w:rsid w:val="00B251D3"/>
    <w:rsid w:val="00B378E1"/>
    <w:rsid w:val="00B442E5"/>
    <w:rsid w:val="00B576E7"/>
    <w:rsid w:val="00B60F97"/>
    <w:rsid w:val="00B621DA"/>
    <w:rsid w:val="00B73049"/>
    <w:rsid w:val="00B856E9"/>
    <w:rsid w:val="00B976AE"/>
    <w:rsid w:val="00BB480F"/>
    <w:rsid w:val="00BD0E31"/>
    <w:rsid w:val="00BD4063"/>
    <w:rsid w:val="00BD795A"/>
    <w:rsid w:val="00BE48E7"/>
    <w:rsid w:val="00BE7AED"/>
    <w:rsid w:val="00BF187B"/>
    <w:rsid w:val="00BF5B52"/>
    <w:rsid w:val="00C000B6"/>
    <w:rsid w:val="00C07EF4"/>
    <w:rsid w:val="00C20E8D"/>
    <w:rsid w:val="00C274FE"/>
    <w:rsid w:val="00C37559"/>
    <w:rsid w:val="00C44508"/>
    <w:rsid w:val="00C4790F"/>
    <w:rsid w:val="00C5488F"/>
    <w:rsid w:val="00C55A0A"/>
    <w:rsid w:val="00C57045"/>
    <w:rsid w:val="00C62674"/>
    <w:rsid w:val="00C633A0"/>
    <w:rsid w:val="00C63AC1"/>
    <w:rsid w:val="00C71AE6"/>
    <w:rsid w:val="00C77059"/>
    <w:rsid w:val="00C7766C"/>
    <w:rsid w:val="00C82230"/>
    <w:rsid w:val="00C85696"/>
    <w:rsid w:val="00C93306"/>
    <w:rsid w:val="00C936D7"/>
    <w:rsid w:val="00C93CAA"/>
    <w:rsid w:val="00C94874"/>
    <w:rsid w:val="00C96252"/>
    <w:rsid w:val="00CB207C"/>
    <w:rsid w:val="00CB273B"/>
    <w:rsid w:val="00CB4716"/>
    <w:rsid w:val="00CC1798"/>
    <w:rsid w:val="00CC2151"/>
    <w:rsid w:val="00CC7CBD"/>
    <w:rsid w:val="00CD04AA"/>
    <w:rsid w:val="00CD10E4"/>
    <w:rsid w:val="00CD3773"/>
    <w:rsid w:val="00CD55D6"/>
    <w:rsid w:val="00CE0FD5"/>
    <w:rsid w:val="00CF3E44"/>
    <w:rsid w:val="00CF4114"/>
    <w:rsid w:val="00D05380"/>
    <w:rsid w:val="00D11785"/>
    <w:rsid w:val="00D174B9"/>
    <w:rsid w:val="00D244B3"/>
    <w:rsid w:val="00D3105B"/>
    <w:rsid w:val="00D37523"/>
    <w:rsid w:val="00D43EFC"/>
    <w:rsid w:val="00D55881"/>
    <w:rsid w:val="00D71ACA"/>
    <w:rsid w:val="00D7267A"/>
    <w:rsid w:val="00D97BD7"/>
    <w:rsid w:val="00DB0A66"/>
    <w:rsid w:val="00DC43E9"/>
    <w:rsid w:val="00DD0CA9"/>
    <w:rsid w:val="00DD0DDC"/>
    <w:rsid w:val="00DE33E9"/>
    <w:rsid w:val="00DE4F54"/>
    <w:rsid w:val="00DF68DD"/>
    <w:rsid w:val="00E01307"/>
    <w:rsid w:val="00E01342"/>
    <w:rsid w:val="00E02F0B"/>
    <w:rsid w:val="00E16B73"/>
    <w:rsid w:val="00E22DA9"/>
    <w:rsid w:val="00E33027"/>
    <w:rsid w:val="00E4185A"/>
    <w:rsid w:val="00E429E5"/>
    <w:rsid w:val="00E5600B"/>
    <w:rsid w:val="00E651A3"/>
    <w:rsid w:val="00E675CC"/>
    <w:rsid w:val="00E75001"/>
    <w:rsid w:val="00E8330D"/>
    <w:rsid w:val="00E868F9"/>
    <w:rsid w:val="00E971B0"/>
    <w:rsid w:val="00E9739C"/>
    <w:rsid w:val="00EA4195"/>
    <w:rsid w:val="00EC5937"/>
    <w:rsid w:val="00ED0B11"/>
    <w:rsid w:val="00ED4A2A"/>
    <w:rsid w:val="00ED6ADA"/>
    <w:rsid w:val="00F00882"/>
    <w:rsid w:val="00F03D69"/>
    <w:rsid w:val="00F12E22"/>
    <w:rsid w:val="00F12F22"/>
    <w:rsid w:val="00F165ED"/>
    <w:rsid w:val="00F208A9"/>
    <w:rsid w:val="00F22601"/>
    <w:rsid w:val="00F2627E"/>
    <w:rsid w:val="00F30684"/>
    <w:rsid w:val="00F30C49"/>
    <w:rsid w:val="00F35673"/>
    <w:rsid w:val="00F44D8E"/>
    <w:rsid w:val="00F70DF8"/>
    <w:rsid w:val="00F832C6"/>
    <w:rsid w:val="00F86A73"/>
    <w:rsid w:val="00F92AB6"/>
    <w:rsid w:val="00F939C7"/>
    <w:rsid w:val="00F96C1B"/>
    <w:rsid w:val="00F97BD6"/>
    <w:rsid w:val="00FC6811"/>
    <w:rsid w:val="00FD4951"/>
    <w:rsid w:val="00FE551C"/>
    <w:rsid w:val="00FF18CF"/>
    <w:rsid w:val="00FF4A8A"/>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chartTrackingRefBased/>
  <w15:docId w15:val="{227FFE7F-1D52-49F8-9F5B-4874ED60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Tahoma" w:hAnsi="Tahoma"/>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customStyle="1" w:styleId="CommentTextChar">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character" w:styleId="Strong">
    <w:name w:val="Strong"/>
    <w:basedOn w:val="DefaultParagraphFont"/>
    <w:uiPriority w:val="22"/>
    <w:qFormat/>
    <w:rsid w:val="00B60F97"/>
    <w:rPr>
      <w:b/>
      <w:bCs/>
    </w:rPr>
  </w:style>
  <w:style w:type="paragraph" w:styleId="NormalWeb">
    <w:name w:val="Normal (Web)"/>
    <w:basedOn w:val="Normal"/>
    <w:uiPriority w:val="99"/>
    <w:unhideWhenUsed/>
    <w:rsid w:val="008504EF"/>
    <w:pPr>
      <w:spacing w:before="100" w:beforeAutospacing="1" w:after="100" w:afterAutospacing="1"/>
    </w:pPr>
    <w:rPr>
      <w:rFonts w:ascii="Times New Roman" w:eastAsia="Times New Roman" w:hAnsi="Times New Roman" w:cs="Times New Roman"/>
      <w:color w:val="auto"/>
      <w:lang w:eastAsia="en-GB"/>
    </w:rPr>
  </w:style>
  <w:style w:type="paragraph" w:customStyle="1" w:styleId="Default">
    <w:name w:val="Default"/>
    <w:rsid w:val="002F7616"/>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39"/>
    <w:rsid w:val="00F44D8E"/>
    <w:rPr>
      <w:rFonts w:ascii="Helvetica" w:hAnsi="Helvetica"/>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1A1737"/>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6434">
      <w:bodyDiv w:val="1"/>
      <w:marLeft w:val="0"/>
      <w:marRight w:val="0"/>
      <w:marTop w:val="0"/>
      <w:marBottom w:val="0"/>
      <w:divBdr>
        <w:top w:val="none" w:sz="0" w:space="0" w:color="auto"/>
        <w:left w:val="none" w:sz="0" w:space="0" w:color="auto"/>
        <w:bottom w:val="none" w:sz="0" w:space="0" w:color="auto"/>
        <w:right w:val="none" w:sz="0" w:space="0" w:color="auto"/>
      </w:divBdr>
    </w:div>
    <w:div w:id="215900525">
      <w:bodyDiv w:val="1"/>
      <w:marLeft w:val="0"/>
      <w:marRight w:val="0"/>
      <w:marTop w:val="0"/>
      <w:marBottom w:val="0"/>
      <w:divBdr>
        <w:top w:val="none" w:sz="0" w:space="0" w:color="auto"/>
        <w:left w:val="none" w:sz="0" w:space="0" w:color="auto"/>
        <w:bottom w:val="none" w:sz="0" w:space="0" w:color="auto"/>
        <w:right w:val="none" w:sz="0" w:space="0" w:color="auto"/>
      </w:divBdr>
    </w:div>
    <w:div w:id="253130391">
      <w:bodyDiv w:val="1"/>
      <w:marLeft w:val="0"/>
      <w:marRight w:val="0"/>
      <w:marTop w:val="0"/>
      <w:marBottom w:val="0"/>
      <w:divBdr>
        <w:top w:val="none" w:sz="0" w:space="0" w:color="auto"/>
        <w:left w:val="none" w:sz="0" w:space="0" w:color="auto"/>
        <w:bottom w:val="none" w:sz="0" w:space="0" w:color="auto"/>
        <w:right w:val="none" w:sz="0" w:space="0" w:color="auto"/>
      </w:divBdr>
    </w:div>
    <w:div w:id="289284116">
      <w:bodyDiv w:val="1"/>
      <w:marLeft w:val="0"/>
      <w:marRight w:val="0"/>
      <w:marTop w:val="0"/>
      <w:marBottom w:val="0"/>
      <w:divBdr>
        <w:top w:val="none" w:sz="0" w:space="0" w:color="auto"/>
        <w:left w:val="none" w:sz="0" w:space="0" w:color="auto"/>
        <w:bottom w:val="none" w:sz="0" w:space="0" w:color="auto"/>
        <w:right w:val="none" w:sz="0" w:space="0" w:color="auto"/>
      </w:divBdr>
    </w:div>
    <w:div w:id="559949950">
      <w:bodyDiv w:val="1"/>
      <w:marLeft w:val="0"/>
      <w:marRight w:val="0"/>
      <w:marTop w:val="0"/>
      <w:marBottom w:val="0"/>
      <w:divBdr>
        <w:top w:val="none" w:sz="0" w:space="0" w:color="auto"/>
        <w:left w:val="none" w:sz="0" w:space="0" w:color="auto"/>
        <w:bottom w:val="none" w:sz="0" w:space="0" w:color="auto"/>
        <w:right w:val="none" w:sz="0" w:space="0" w:color="auto"/>
      </w:divBdr>
    </w:div>
    <w:div w:id="608389854">
      <w:bodyDiv w:val="1"/>
      <w:marLeft w:val="0"/>
      <w:marRight w:val="0"/>
      <w:marTop w:val="0"/>
      <w:marBottom w:val="0"/>
      <w:divBdr>
        <w:top w:val="none" w:sz="0" w:space="0" w:color="auto"/>
        <w:left w:val="none" w:sz="0" w:space="0" w:color="auto"/>
        <w:bottom w:val="none" w:sz="0" w:space="0" w:color="auto"/>
        <w:right w:val="none" w:sz="0" w:space="0" w:color="auto"/>
      </w:divBdr>
    </w:div>
    <w:div w:id="609358130">
      <w:bodyDiv w:val="1"/>
      <w:marLeft w:val="0"/>
      <w:marRight w:val="0"/>
      <w:marTop w:val="0"/>
      <w:marBottom w:val="0"/>
      <w:divBdr>
        <w:top w:val="none" w:sz="0" w:space="0" w:color="auto"/>
        <w:left w:val="none" w:sz="0" w:space="0" w:color="auto"/>
        <w:bottom w:val="none" w:sz="0" w:space="0" w:color="auto"/>
        <w:right w:val="none" w:sz="0" w:space="0" w:color="auto"/>
      </w:divBdr>
    </w:div>
    <w:div w:id="697589696">
      <w:bodyDiv w:val="1"/>
      <w:marLeft w:val="0"/>
      <w:marRight w:val="0"/>
      <w:marTop w:val="0"/>
      <w:marBottom w:val="0"/>
      <w:divBdr>
        <w:top w:val="none" w:sz="0" w:space="0" w:color="auto"/>
        <w:left w:val="none" w:sz="0" w:space="0" w:color="auto"/>
        <w:bottom w:val="none" w:sz="0" w:space="0" w:color="auto"/>
        <w:right w:val="none" w:sz="0" w:space="0" w:color="auto"/>
      </w:divBdr>
    </w:div>
    <w:div w:id="908616991">
      <w:bodyDiv w:val="1"/>
      <w:marLeft w:val="0"/>
      <w:marRight w:val="0"/>
      <w:marTop w:val="0"/>
      <w:marBottom w:val="0"/>
      <w:divBdr>
        <w:top w:val="none" w:sz="0" w:space="0" w:color="auto"/>
        <w:left w:val="none" w:sz="0" w:space="0" w:color="auto"/>
        <w:bottom w:val="none" w:sz="0" w:space="0" w:color="auto"/>
        <w:right w:val="none" w:sz="0" w:space="0" w:color="auto"/>
      </w:divBdr>
    </w:div>
    <w:div w:id="981734730">
      <w:bodyDiv w:val="1"/>
      <w:marLeft w:val="0"/>
      <w:marRight w:val="0"/>
      <w:marTop w:val="0"/>
      <w:marBottom w:val="0"/>
      <w:divBdr>
        <w:top w:val="none" w:sz="0" w:space="0" w:color="auto"/>
        <w:left w:val="none" w:sz="0" w:space="0" w:color="auto"/>
        <w:bottom w:val="none" w:sz="0" w:space="0" w:color="auto"/>
        <w:right w:val="none" w:sz="0" w:space="0" w:color="auto"/>
      </w:divBdr>
    </w:div>
    <w:div w:id="1146627556">
      <w:bodyDiv w:val="1"/>
      <w:marLeft w:val="0"/>
      <w:marRight w:val="0"/>
      <w:marTop w:val="0"/>
      <w:marBottom w:val="0"/>
      <w:divBdr>
        <w:top w:val="none" w:sz="0" w:space="0" w:color="auto"/>
        <w:left w:val="none" w:sz="0" w:space="0" w:color="auto"/>
        <w:bottom w:val="none" w:sz="0" w:space="0" w:color="auto"/>
        <w:right w:val="none" w:sz="0" w:space="0" w:color="auto"/>
      </w:divBdr>
    </w:div>
    <w:div w:id="1351449007">
      <w:bodyDiv w:val="1"/>
      <w:marLeft w:val="0"/>
      <w:marRight w:val="0"/>
      <w:marTop w:val="0"/>
      <w:marBottom w:val="0"/>
      <w:divBdr>
        <w:top w:val="none" w:sz="0" w:space="0" w:color="auto"/>
        <w:left w:val="none" w:sz="0" w:space="0" w:color="auto"/>
        <w:bottom w:val="none" w:sz="0" w:space="0" w:color="auto"/>
        <w:right w:val="none" w:sz="0" w:space="0" w:color="auto"/>
      </w:divBdr>
    </w:div>
    <w:div w:id="1402024458">
      <w:bodyDiv w:val="1"/>
      <w:marLeft w:val="0"/>
      <w:marRight w:val="0"/>
      <w:marTop w:val="0"/>
      <w:marBottom w:val="0"/>
      <w:divBdr>
        <w:top w:val="none" w:sz="0" w:space="0" w:color="auto"/>
        <w:left w:val="none" w:sz="0" w:space="0" w:color="auto"/>
        <w:bottom w:val="none" w:sz="0" w:space="0" w:color="auto"/>
        <w:right w:val="none" w:sz="0" w:space="0" w:color="auto"/>
      </w:divBdr>
    </w:div>
    <w:div w:id="1414358260">
      <w:bodyDiv w:val="1"/>
      <w:marLeft w:val="0"/>
      <w:marRight w:val="0"/>
      <w:marTop w:val="0"/>
      <w:marBottom w:val="0"/>
      <w:divBdr>
        <w:top w:val="none" w:sz="0" w:space="0" w:color="auto"/>
        <w:left w:val="none" w:sz="0" w:space="0" w:color="auto"/>
        <w:bottom w:val="none" w:sz="0" w:space="0" w:color="auto"/>
        <w:right w:val="none" w:sz="0" w:space="0" w:color="auto"/>
      </w:divBdr>
    </w:div>
    <w:div w:id="1458798200">
      <w:bodyDiv w:val="1"/>
      <w:marLeft w:val="0"/>
      <w:marRight w:val="0"/>
      <w:marTop w:val="0"/>
      <w:marBottom w:val="0"/>
      <w:divBdr>
        <w:top w:val="none" w:sz="0" w:space="0" w:color="auto"/>
        <w:left w:val="none" w:sz="0" w:space="0" w:color="auto"/>
        <w:bottom w:val="none" w:sz="0" w:space="0" w:color="auto"/>
        <w:right w:val="none" w:sz="0" w:space="0" w:color="auto"/>
      </w:divBdr>
    </w:div>
    <w:div w:id="1520200116">
      <w:bodyDiv w:val="1"/>
      <w:marLeft w:val="0"/>
      <w:marRight w:val="0"/>
      <w:marTop w:val="0"/>
      <w:marBottom w:val="0"/>
      <w:divBdr>
        <w:top w:val="none" w:sz="0" w:space="0" w:color="auto"/>
        <w:left w:val="none" w:sz="0" w:space="0" w:color="auto"/>
        <w:bottom w:val="none" w:sz="0" w:space="0" w:color="auto"/>
        <w:right w:val="none" w:sz="0" w:space="0" w:color="auto"/>
      </w:divBdr>
    </w:div>
    <w:div w:id="1708291284">
      <w:bodyDiv w:val="1"/>
      <w:marLeft w:val="0"/>
      <w:marRight w:val="0"/>
      <w:marTop w:val="0"/>
      <w:marBottom w:val="0"/>
      <w:divBdr>
        <w:top w:val="none" w:sz="0" w:space="0" w:color="auto"/>
        <w:left w:val="none" w:sz="0" w:space="0" w:color="auto"/>
        <w:bottom w:val="none" w:sz="0" w:space="0" w:color="auto"/>
        <w:right w:val="none" w:sz="0" w:space="0" w:color="auto"/>
      </w:divBdr>
    </w:div>
    <w:div w:id="1720081980">
      <w:bodyDiv w:val="1"/>
      <w:marLeft w:val="0"/>
      <w:marRight w:val="0"/>
      <w:marTop w:val="0"/>
      <w:marBottom w:val="0"/>
      <w:divBdr>
        <w:top w:val="none" w:sz="0" w:space="0" w:color="auto"/>
        <w:left w:val="none" w:sz="0" w:space="0" w:color="auto"/>
        <w:bottom w:val="none" w:sz="0" w:space="0" w:color="auto"/>
        <w:right w:val="none" w:sz="0" w:space="0" w:color="auto"/>
      </w:divBdr>
    </w:div>
    <w:div w:id="1820265700">
      <w:bodyDiv w:val="1"/>
      <w:marLeft w:val="0"/>
      <w:marRight w:val="0"/>
      <w:marTop w:val="0"/>
      <w:marBottom w:val="0"/>
      <w:divBdr>
        <w:top w:val="none" w:sz="0" w:space="0" w:color="auto"/>
        <w:left w:val="none" w:sz="0" w:space="0" w:color="auto"/>
        <w:bottom w:val="none" w:sz="0" w:space="0" w:color="auto"/>
        <w:right w:val="none" w:sz="0" w:space="0" w:color="auto"/>
      </w:divBdr>
    </w:div>
    <w:div w:id="1847094816">
      <w:bodyDiv w:val="1"/>
      <w:marLeft w:val="0"/>
      <w:marRight w:val="0"/>
      <w:marTop w:val="0"/>
      <w:marBottom w:val="0"/>
      <w:divBdr>
        <w:top w:val="none" w:sz="0" w:space="0" w:color="auto"/>
        <w:left w:val="none" w:sz="0" w:space="0" w:color="auto"/>
        <w:bottom w:val="none" w:sz="0" w:space="0" w:color="auto"/>
        <w:right w:val="none" w:sz="0" w:space="0" w:color="auto"/>
      </w:divBdr>
    </w:div>
    <w:div w:id="1892226478">
      <w:bodyDiv w:val="1"/>
      <w:marLeft w:val="0"/>
      <w:marRight w:val="0"/>
      <w:marTop w:val="0"/>
      <w:marBottom w:val="0"/>
      <w:divBdr>
        <w:top w:val="none" w:sz="0" w:space="0" w:color="auto"/>
        <w:left w:val="none" w:sz="0" w:space="0" w:color="auto"/>
        <w:bottom w:val="none" w:sz="0" w:space="0" w:color="auto"/>
        <w:right w:val="none" w:sz="0" w:space="0" w:color="auto"/>
      </w:divBdr>
    </w:div>
    <w:div w:id="2099400824">
      <w:bodyDiv w:val="1"/>
      <w:marLeft w:val="0"/>
      <w:marRight w:val="0"/>
      <w:marTop w:val="0"/>
      <w:marBottom w:val="0"/>
      <w:divBdr>
        <w:top w:val="none" w:sz="0" w:space="0" w:color="auto"/>
        <w:left w:val="none" w:sz="0" w:space="0" w:color="auto"/>
        <w:bottom w:val="none" w:sz="0" w:space="0" w:color="auto"/>
        <w:right w:val="none" w:sz="0" w:space="0" w:color="auto"/>
      </w:divBdr>
    </w:div>
    <w:div w:id="21197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about/equality/equality-hub/patient-equalities-programme/equality-frameworks-and-information-standards/e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gland.eandhi@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ngland.eandhi@nhs.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eandhi@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62B11D0614DB28C23223F5CD21B3E"/>
        <w:category>
          <w:name w:val="General"/>
          <w:gallery w:val="placeholder"/>
        </w:category>
        <w:types>
          <w:type w:val="bbPlcHdr"/>
        </w:types>
        <w:behaviors>
          <w:behavior w:val="content"/>
        </w:behaviors>
        <w:guid w:val="{918025FB-7409-4076-9BE1-E676FCA735CB}"/>
      </w:docPartPr>
      <w:docPartBody>
        <w:p w:rsidR="00977804" w:rsidRDefault="00C432A5">
          <w:pPr>
            <w:pStyle w:val="D9462B11D0614DB28C23223F5CD21B3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74107"/>
    <w:rsid w:val="00083202"/>
    <w:rsid w:val="000A057A"/>
    <w:rsid w:val="000E08D0"/>
    <w:rsid w:val="00114EB1"/>
    <w:rsid w:val="00171038"/>
    <w:rsid w:val="00173A91"/>
    <w:rsid w:val="00212A09"/>
    <w:rsid w:val="00225FA8"/>
    <w:rsid w:val="00242A8E"/>
    <w:rsid w:val="002E0F7C"/>
    <w:rsid w:val="00310029"/>
    <w:rsid w:val="0034545C"/>
    <w:rsid w:val="003A6304"/>
    <w:rsid w:val="004066CA"/>
    <w:rsid w:val="00421513"/>
    <w:rsid w:val="00422896"/>
    <w:rsid w:val="004A3B17"/>
    <w:rsid w:val="004A597F"/>
    <w:rsid w:val="004D03ED"/>
    <w:rsid w:val="004F11D9"/>
    <w:rsid w:val="005125B6"/>
    <w:rsid w:val="00512828"/>
    <w:rsid w:val="006A0236"/>
    <w:rsid w:val="006C363D"/>
    <w:rsid w:val="006E268E"/>
    <w:rsid w:val="007D43A0"/>
    <w:rsid w:val="00841A49"/>
    <w:rsid w:val="00844232"/>
    <w:rsid w:val="00873A81"/>
    <w:rsid w:val="0088632B"/>
    <w:rsid w:val="008E16DB"/>
    <w:rsid w:val="00977804"/>
    <w:rsid w:val="00A16916"/>
    <w:rsid w:val="00A7659F"/>
    <w:rsid w:val="00A7691B"/>
    <w:rsid w:val="00A8096D"/>
    <w:rsid w:val="00B36A7B"/>
    <w:rsid w:val="00B52442"/>
    <w:rsid w:val="00B576E7"/>
    <w:rsid w:val="00C07EF4"/>
    <w:rsid w:val="00C432A5"/>
    <w:rsid w:val="00C5488F"/>
    <w:rsid w:val="00C82230"/>
    <w:rsid w:val="00C924C3"/>
    <w:rsid w:val="00D07C1E"/>
    <w:rsid w:val="00D23E72"/>
    <w:rsid w:val="00D2503B"/>
    <w:rsid w:val="00D35BC8"/>
    <w:rsid w:val="00D5418F"/>
    <w:rsid w:val="00D5582E"/>
    <w:rsid w:val="00D71ACA"/>
    <w:rsid w:val="00D7267A"/>
    <w:rsid w:val="00D86A86"/>
    <w:rsid w:val="00DC43E9"/>
    <w:rsid w:val="00DE0F4B"/>
    <w:rsid w:val="00E01342"/>
    <w:rsid w:val="00E16B73"/>
    <w:rsid w:val="00F0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D9462B11D0614DB28C23223F5CD21B3E">
    <w:name w:val="D9462B11D0614DB28C23223F5CD2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50600352-3b1e-4feb-814b-615c03f7c0d5" xsi:nil="true"/>
    <Number xmlns="50600352-3b1e-4feb-814b-615c03f7c0d5" xsi:nil="true"/>
    <_ip_UnifiedCompliancePolicyUIAction xmlns="http://schemas.microsoft.com/sharepoint/v3" xsi:nil="true"/>
    <_ip_UnifiedCompliancePolicyProperties xmlns="http://schemas.microsoft.com/sharepoint/v3" xsi:nil="true"/>
    <TaxCatchAll xmlns="cccaf3ac-2de9-44d4-aa31-54302fceb5f7" xsi:nil="true"/>
    <lcf76f155ced4ddcb4097134ff3c332f xmlns="50600352-3b1e-4feb-814b-615c03f7c0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5F7E665BEC04CA921820A18544771" ma:contentTypeVersion="26" ma:contentTypeDescription="Create a new document." ma:contentTypeScope="" ma:versionID="cb2adab23739c98ea88aa55ef8855465">
  <xsd:schema xmlns:xsd="http://www.w3.org/2001/XMLSchema" xmlns:xs="http://www.w3.org/2001/XMLSchema" xmlns:p="http://schemas.microsoft.com/office/2006/metadata/properties" xmlns:ns1="http://schemas.microsoft.com/sharepoint/v3" xmlns:ns2="51bfcd92-eb3e-40f4-8778-2bbfb88a890b" xmlns:ns3="50600352-3b1e-4feb-814b-615c03f7c0d5" xmlns:ns4="cccaf3ac-2de9-44d4-aa31-54302fceb5f7" targetNamespace="http://schemas.microsoft.com/office/2006/metadata/properties" ma:root="true" ma:fieldsID="b82da7afe37a97f57a3309e10f54a259" ns1:_="" ns2:_="" ns3:_="" ns4:_="">
    <xsd:import namespace="http://schemas.microsoft.com/sharepoint/v3"/>
    <xsd:import namespace="51bfcd92-eb3e-40f4-8778-2bbfb88a890b"/>
    <xsd:import namespace="50600352-3b1e-4feb-814b-615c03f7c0d5"/>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00352-3b1e-4feb-814b-615c03f7c0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description="Organising by 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a2fca05-696b-49a0-95a3-3d24abb4c8cc}"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50600352-3b1e-4feb-814b-615c03f7c0d5"/>
    <ds:schemaRef ds:uri="http://schemas.microsoft.com/sharepoint/v3"/>
    <ds:schemaRef ds:uri="cccaf3ac-2de9-44d4-aa31-54302fceb5f7"/>
  </ds:schemaRefs>
</ds:datastoreItem>
</file>

<file path=customXml/itemProps3.xml><?xml version="1.0" encoding="utf-8"?>
<ds:datastoreItem xmlns:ds="http://schemas.openxmlformats.org/officeDocument/2006/customXml" ds:itemID="{2CDF68F9-A0E5-4C9A-ADA1-AB5EFB4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fcd92-eb3e-40f4-8778-2bbfb88a890b"/>
    <ds:schemaRef ds:uri="50600352-3b1e-4feb-814b-615c03f7c0d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3909F-9C55-4F30-B319-6D0C25F68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7152</Words>
  <Characters>41344</Characters>
  <Application>Microsoft Office Word</Application>
  <DocSecurity>0</DocSecurity>
  <Lines>2296</Lines>
  <Paragraphs>557</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47939</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PRITCHARD, Liz (COUNTESS OF CHESTER HOSPITAL NHS FOUNDATION TRUST)</cp:lastModifiedBy>
  <cp:revision>2</cp:revision>
  <dcterms:created xsi:type="dcterms:W3CDTF">2026-02-27T09:25:00Z</dcterms:created>
  <dcterms:modified xsi:type="dcterms:W3CDTF">2026-02-27T09:25:00Z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0x010100C085F7E665BEC04CA921820A18544771</vt:lpwstr>
  </property>
  <property fmtid="{D5CDD505-2E9C-101B-9397-08002B2CF9AE}" pid="3" name="MediaServiceImageTags">
    <vt:lpwstr/>
  </property>
</Properties>
</file>